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jc w:val="center"/>
        <w:tblInd w:w="-792" w:type="dxa"/>
        <w:tblBorders>
          <w:bottom w:val="single" w:sz="4" w:space="0" w:color="auto"/>
        </w:tblBorders>
        <w:tblLook w:val="01E0"/>
      </w:tblPr>
      <w:tblGrid>
        <w:gridCol w:w="6300"/>
        <w:gridCol w:w="5040"/>
      </w:tblGrid>
      <w:tr w:rsidR="005B2272" w:rsidRPr="00A05DED" w:rsidTr="00AD33AC">
        <w:trPr>
          <w:trHeight w:val="1971"/>
          <w:jc w:val="center"/>
        </w:trPr>
        <w:tc>
          <w:tcPr>
            <w:tcW w:w="6300" w:type="dxa"/>
            <w:shd w:val="clear" w:color="auto" w:fill="FFFFFF" w:themeFill="background1"/>
          </w:tcPr>
          <w:p w:rsidR="005B2272" w:rsidRPr="00A05DED" w:rsidRDefault="005B2272" w:rsidP="00AD33AC">
            <w:pPr>
              <w:spacing w:line="360" w:lineRule="auto"/>
            </w:pPr>
            <w:r w:rsidRPr="00A05DED">
              <w:rPr>
                <w:b/>
                <w:sz w:val="22"/>
                <w:szCs w:val="22"/>
              </w:rPr>
              <w:br w:type="page"/>
            </w:r>
            <w:r w:rsidR="00F54804" w:rsidRPr="00A05DED">
              <w:rPr>
                <w:noProof/>
                <w:lang w:eastAsia="en-GB"/>
              </w:rPr>
              <w:pict>
                <v:shapetype id="_x0000_t202" coordsize="21600,21600" o:spt="202" path="m,l,21600r21600,l21600,xe">
                  <v:stroke joinstyle="miter"/>
                  <v:path gradientshapeok="t" o:connecttype="rect"/>
                </v:shapetype>
                <v:shape id="Text Box 7" o:spid="_x0000_s1026" type="#_x0000_t202" style="position:absolute;margin-left:351.1pt;margin-top:-46.5pt;width:210pt;height:1in;z-index:25166131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" filled="f" stroked="f">
                  <v:textbox inset="0,0,0,0">
                    <w:txbxContent>
                      <w:p w:rsidR="00AD33AC" w:rsidRPr="001C7073" w:rsidRDefault="00AD33AC" w:rsidP="001C7073"/>
                    </w:txbxContent>
                  </v:textbox>
                  <w10:wrap anchorx="page" anchory="page"/>
                  <w10:anchorlock/>
                </v:shape>
              </w:pict>
            </w:r>
          </w:p>
        </w:tc>
        <w:tc>
          <w:tcPr>
            <w:tcW w:w="5040" w:type="dxa"/>
            <w:shd w:val="clear" w:color="auto" w:fill="FFFFFF" w:themeFill="background1"/>
          </w:tcPr>
          <w:p w:rsidR="005B2272" w:rsidRPr="00A05DED" w:rsidRDefault="005B2272" w:rsidP="00AD33AC">
            <w:pPr>
              <w:spacing w:line="360" w:lineRule="auto"/>
            </w:pPr>
            <w:r w:rsidRPr="00A05DED">
              <w:t xml:space="preserve">    </w:t>
            </w:r>
          </w:p>
          <w:p w:rsidR="005B2272" w:rsidRPr="00A05DED" w:rsidRDefault="005B2272" w:rsidP="00AD33AC">
            <w:pPr>
              <w:spacing w:line="360" w:lineRule="auto"/>
              <w:jc w:val="right"/>
            </w:pPr>
          </w:p>
        </w:tc>
      </w:tr>
    </w:tbl>
    <w:p w:rsidR="005B2272" w:rsidRPr="00A05DED" w:rsidRDefault="005B2272">
      <w:pPr>
        <w:spacing w:before="0" w:after="200"/>
        <w:rPr>
          <w:b/>
          <w:sz w:val="22"/>
          <w:szCs w:val="22"/>
        </w:rPr>
      </w:pPr>
      <w:r w:rsidRPr="00A05DED">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59675" cy="10693400"/>
            <wp:effectExtent l="0" t="0" r="0" b="0"/>
            <wp:wrapNone/>
            <wp:docPr id="2" name="Picture 2" descr="09_0300 Centre working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0300 Centre working pap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93400"/>
                    </a:xfrm>
                    <a:prstGeom prst="rect">
                      <a:avLst/>
                    </a:prstGeom>
                    <a:noFill/>
                  </pic:spPr>
                </pic:pic>
              </a:graphicData>
            </a:graphic>
          </wp:anchor>
        </w:drawing>
      </w:r>
      <w:r w:rsidR="00F54804" w:rsidRPr="00A05DED">
        <w:rPr>
          <w:noProof/>
          <w:lang w:eastAsia="en-GB"/>
        </w:rPr>
        <w:pict>
          <v:shape id="Text Box 2" o:spid="_x0000_s1027" type="#_x0000_t202" style="position:absolute;margin-left:3pt;margin-top:198.45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" filled="f" stroked="f">
            <v:textbox inset=",7.2pt,,7.2pt">
              <w:txbxContent>
                <w:p w:rsidR="00AD33AC" w:rsidRDefault="00AD33AC" w:rsidP="005B2272">
                  <w:pPr>
                    <w:pStyle w:val="pbody"/>
                    <w:spacing w:after="40"/>
                    <w:jc w:val="center"/>
                    <w:rPr>
                      <w:rStyle w:val="h1"/>
                      <w:rFonts w:ascii="Arial Bold" w:hAnsi="Arial Bold"/>
                      <w:bCs w:val="0"/>
                      <w:color w:val="auto"/>
                      <w:sz w:val="40"/>
                      <w:szCs w:val="40"/>
                    </w:rPr>
                  </w:pPr>
                  <w:r w:rsidRPr="008009DD">
                    <w:rPr>
                      <w:rStyle w:val="h1"/>
                      <w:rFonts w:ascii="Arial Bold" w:hAnsi="Arial Bold"/>
                      <w:bCs w:val="0"/>
                      <w:color w:val="auto"/>
                      <w:sz w:val="40"/>
                      <w:szCs w:val="40"/>
                    </w:rPr>
                    <w:t>Jobs, Sk</w:t>
                  </w:r>
                  <w:r>
                    <w:rPr>
                      <w:rStyle w:val="h1"/>
                      <w:rFonts w:ascii="Arial Bold" w:hAnsi="Arial Bold"/>
                      <w:bCs w:val="0"/>
                      <w:color w:val="auto"/>
                      <w:sz w:val="40"/>
                      <w:szCs w:val="40"/>
                    </w:rPr>
                    <w:t>ills and the Low Carbon Economy</w:t>
                  </w:r>
                </w:p>
                <w:p w:rsidR="00AD33AC" w:rsidRDefault="00AD33AC" w:rsidP="005B2272">
                  <w:pPr>
                    <w:pStyle w:val="pbody"/>
                    <w:spacing w:after="40"/>
                    <w:jc w:val="center"/>
                    <w:rPr>
                      <w:rStyle w:val="h1"/>
                      <w:rFonts w:ascii="Arial Bold" w:hAnsi="Arial Bold"/>
                      <w:bCs w:val="0"/>
                      <w:color w:val="auto"/>
                      <w:sz w:val="40"/>
                      <w:szCs w:val="40"/>
                    </w:rPr>
                  </w:pPr>
                </w:p>
                <w:p w:rsidR="00AD33AC" w:rsidRDefault="00AD33AC" w:rsidP="005B2272">
                  <w:pPr>
                    <w:pStyle w:val="pbody"/>
                    <w:spacing w:after="40"/>
                    <w:jc w:val="center"/>
                    <w:rPr>
                      <w:rStyle w:val="h1"/>
                      <w:rFonts w:ascii="Arial Bold" w:hAnsi="Arial Bold"/>
                      <w:b w:val="0"/>
                      <w:color w:val="595959"/>
                      <w:sz w:val="36"/>
                      <w:szCs w:val="36"/>
                    </w:rPr>
                  </w:pPr>
                  <w:r w:rsidRPr="008009DD">
                    <w:rPr>
                      <w:rStyle w:val="h1"/>
                      <w:rFonts w:ascii="Arial Bold" w:hAnsi="Arial Bold"/>
                      <w:b w:val="0"/>
                      <w:color w:val="595959"/>
                      <w:sz w:val="36"/>
                      <w:szCs w:val="36"/>
                    </w:rPr>
                    <w:t>Nick Jagger, Timothy J Foxon and Andy Gouldson</w:t>
                  </w:r>
                </w:p>
                <w:p w:rsidR="00AD33AC" w:rsidRDefault="00AD33AC" w:rsidP="005B2272">
                  <w:pPr>
                    <w:pStyle w:val="pbody"/>
                    <w:spacing w:after="40"/>
                    <w:jc w:val="center"/>
                    <w:rPr>
                      <w:rStyle w:val="h1"/>
                      <w:sz w:val="36"/>
                      <w:szCs w:val="36"/>
                    </w:rPr>
                  </w:pPr>
                </w:p>
                <w:p w:rsidR="00AD33AC" w:rsidRPr="001C7073" w:rsidRDefault="00AD33AC" w:rsidP="005B2272">
                  <w:pPr>
                    <w:pStyle w:val="pbody"/>
                    <w:spacing w:after="40"/>
                    <w:jc w:val="center"/>
                    <w:rPr>
                      <w:rStyle w:val="h1"/>
                      <w:color w:val="auto"/>
                      <w:sz w:val="36"/>
                      <w:szCs w:val="36"/>
                    </w:rPr>
                  </w:pPr>
                  <w:r>
                    <w:rPr>
                      <w:rStyle w:val="h1"/>
                      <w:color w:val="auto"/>
                      <w:sz w:val="36"/>
                      <w:szCs w:val="36"/>
                    </w:rPr>
                    <w:t>Briefing Note</w:t>
                  </w:r>
                </w:p>
                <w:p w:rsidR="00AD33AC" w:rsidRDefault="00AD33AC" w:rsidP="005B2272">
                  <w:pPr>
                    <w:pStyle w:val="pbody"/>
                    <w:spacing w:after="40"/>
                    <w:jc w:val="center"/>
                    <w:rPr>
                      <w:rStyle w:val="h1"/>
                      <w:rFonts w:ascii="Arial Bold" w:hAnsi="Arial Bold"/>
                      <w:b w:val="0"/>
                      <w:color w:val="595959"/>
                      <w:sz w:val="36"/>
                      <w:szCs w:val="36"/>
                    </w:rPr>
                  </w:pPr>
                </w:p>
                <w:p w:rsidR="00AD33AC" w:rsidRDefault="00AD33AC" w:rsidP="005B2272">
                  <w:pPr>
                    <w:pStyle w:val="pbody"/>
                    <w:spacing w:after="40"/>
                    <w:jc w:val="center"/>
                    <w:rPr>
                      <w:rStyle w:val="h1"/>
                      <w:rFonts w:ascii="Arial Bold" w:hAnsi="Arial Bold"/>
                      <w:b w:val="0"/>
                      <w:color w:val="595959"/>
                      <w:sz w:val="36"/>
                      <w:szCs w:val="36"/>
                    </w:rPr>
                  </w:pPr>
                  <w:r>
                    <w:rPr>
                      <w:rStyle w:val="h1"/>
                      <w:rFonts w:ascii="Arial Bold" w:hAnsi="Arial Bold"/>
                      <w:b w:val="0"/>
                      <w:color w:val="595959"/>
                      <w:sz w:val="36"/>
                      <w:szCs w:val="36"/>
                    </w:rPr>
                    <w:t>November 2012</w:t>
                  </w:r>
                </w:p>
                <w:p w:rsidR="00AD33AC" w:rsidRPr="00561C70" w:rsidRDefault="00AD33AC" w:rsidP="005B2272">
                  <w:pPr>
                    <w:pStyle w:val="pbody"/>
                    <w:spacing w:after="40"/>
                    <w:jc w:val="center"/>
                    <w:rPr>
                      <w:rStyle w:val="h1"/>
                      <w:sz w:val="36"/>
                      <w:szCs w:val="36"/>
                    </w:rPr>
                  </w:pPr>
                </w:p>
                <w:p w:rsidR="00AD33AC" w:rsidRPr="00561C70" w:rsidRDefault="00AD33AC" w:rsidP="005B2272">
                  <w:pPr>
                    <w:pStyle w:val="pbody"/>
                    <w:spacing w:after="40"/>
                    <w:jc w:val="center"/>
                    <w:rPr>
                      <w:rStyle w:val="h1"/>
                      <w:sz w:val="36"/>
                      <w:szCs w:val="36"/>
                    </w:rPr>
                  </w:pPr>
                  <w:r w:rsidRPr="00561C70">
                    <w:rPr>
                      <w:rStyle w:val="h1"/>
                      <w:rFonts w:ascii="Arial Bold" w:hAnsi="Arial Bold"/>
                      <w:b w:val="0"/>
                      <w:color w:val="595959"/>
                      <w:sz w:val="36"/>
                      <w:szCs w:val="36"/>
                    </w:rPr>
                    <w:t>Centre for Climate Chang</w:t>
                  </w:r>
                  <w:r>
                    <w:rPr>
                      <w:rStyle w:val="h1"/>
                      <w:rFonts w:ascii="Arial Bold" w:hAnsi="Arial Bold"/>
                      <w:b w:val="0"/>
                      <w:color w:val="595959"/>
                      <w:sz w:val="36"/>
                      <w:szCs w:val="36"/>
                    </w:rPr>
                    <w:t xml:space="preserve">e Economics and Policy </w:t>
                  </w:r>
                </w:p>
                <w:p w:rsidR="00AD33AC" w:rsidRPr="008355F4" w:rsidRDefault="00AD33AC" w:rsidP="005B2272">
                  <w:pPr>
                    <w:rPr>
                      <w:rFonts w:ascii="Arial Bold" w:hAnsi="Arial Bold"/>
                      <w:color w:val="595959"/>
                    </w:rPr>
                  </w:pPr>
                </w:p>
              </w:txbxContent>
            </v:textbox>
            <w10:wrap type="tight"/>
          </v:shape>
        </w:pict>
      </w:r>
      <w:r w:rsidRPr="00A05DED">
        <w:br w:type="page"/>
      </w:r>
    </w:p>
    <w:p w:rsidR="005B2272" w:rsidRPr="00A05DED" w:rsidRDefault="005B2272" w:rsidP="005B2272">
      <w:pPr>
        <w:jc w:val="both"/>
        <w:rPr>
          <w:sz w:val="22"/>
          <w:szCs w:val="22"/>
        </w:rPr>
      </w:pPr>
      <w:r w:rsidRPr="00A05DED">
        <w:rPr>
          <w:b/>
          <w:sz w:val="22"/>
          <w:szCs w:val="22"/>
        </w:rPr>
        <w:lastRenderedPageBreak/>
        <w:t>The Centre for Climate Change Economics and Policy (CCCEP)</w:t>
      </w:r>
      <w:r w:rsidRPr="00A05DED">
        <w:rPr>
          <w:sz w:val="22"/>
          <w:szCs w:val="22"/>
        </w:rPr>
        <w:t xml:space="preserve"> was established by the University of Leeds and the London School of Economics and Political Science in 2008 to advance public and private action on climate change through innovative, rigorous research. The Centre is funded by the UK Economic and Social Research Council and has five inter-linked research programmes:</w:t>
      </w:r>
    </w:p>
    <w:p w:rsidR="005B2272" w:rsidRPr="00A05DED" w:rsidRDefault="005B2272" w:rsidP="005B2272">
      <w:pPr>
        <w:numPr>
          <w:ilvl w:val="0"/>
          <w:numId w:val="19"/>
        </w:numPr>
        <w:spacing w:before="0" w:line="240" w:lineRule="auto"/>
        <w:jc w:val="both"/>
        <w:rPr>
          <w:sz w:val="22"/>
          <w:szCs w:val="22"/>
        </w:rPr>
      </w:pPr>
      <w:r w:rsidRPr="00A05DED">
        <w:rPr>
          <w:sz w:val="22"/>
          <w:szCs w:val="22"/>
        </w:rPr>
        <w:t xml:space="preserve">Developing climate science and economics </w:t>
      </w:r>
    </w:p>
    <w:p w:rsidR="005B2272" w:rsidRPr="00A05DED" w:rsidRDefault="005B2272" w:rsidP="005B2272">
      <w:pPr>
        <w:numPr>
          <w:ilvl w:val="0"/>
          <w:numId w:val="19"/>
        </w:numPr>
        <w:spacing w:before="0" w:line="240" w:lineRule="auto"/>
        <w:jc w:val="both"/>
        <w:rPr>
          <w:sz w:val="22"/>
          <w:szCs w:val="22"/>
        </w:rPr>
      </w:pPr>
      <w:r w:rsidRPr="00A05DED">
        <w:rPr>
          <w:sz w:val="22"/>
          <w:szCs w:val="22"/>
        </w:rPr>
        <w:t xml:space="preserve">Climate change governance for a new global deal </w:t>
      </w:r>
    </w:p>
    <w:p w:rsidR="005B2272" w:rsidRPr="00A05DED" w:rsidRDefault="005B2272" w:rsidP="005B2272">
      <w:pPr>
        <w:numPr>
          <w:ilvl w:val="0"/>
          <w:numId w:val="19"/>
        </w:numPr>
        <w:spacing w:before="0" w:line="240" w:lineRule="auto"/>
        <w:jc w:val="both"/>
        <w:rPr>
          <w:sz w:val="22"/>
          <w:szCs w:val="22"/>
        </w:rPr>
      </w:pPr>
      <w:r w:rsidRPr="00A05DED">
        <w:rPr>
          <w:sz w:val="22"/>
          <w:szCs w:val="22"/>
        </w:rPr>
        <w:t xml:space="preserve">Adaptation to climate change and human development </w:t>
      </w:r>
    </w:p>
    <w:p w:rsidR="005B2272" w:rsidRPr="00A05DED" w:rsidRDefault="005B2272" w:rsidP="005B2272">
      <w:pPr>
        <w:numPr>
          <w:ilvl w:val="0"/>
          <w:numId w:val="19"/>
        </w:numPr>
        <w:spacing w:before="0" w:line="240" w:lineRule="auto"/>
        <w:jc w:val="both"/>
        <w:rPr>
          <w:sz w:val="22"/>
          <w:szCs w:val="22"/>
        </w:rPr>
      </w:pPr>
      <w:r w:rsidRPr="00A05DED">
        <w:rPr>
          <w:sz w:val="22"/>
          <w:szCs w:val="22"/>
        </w:rPr>
        <w:t xml:space="preserve">Governments, markets and climate change mitigation </w:t>
      </w:r>
    </w:p>
    <w:p w:rsidR="005B2272" w:rsidRPr="00A05DED" w:rsidRDefault="005B2272" w:rsidP="005B2272">
      <w:pPr>
        <w:numPr>
          <w:ilvl w:val="0"/>
          <w:numId w:val="19"/>
        </w:numPr>
        <w:spacing w:before="0" w:line="240" w:lineRule="auto"/>
        <w:jc w:val="both"/>
        <w:rPr>
          <w:sz w:val="22"/>
          <w:szCs w:val="22"/>
        </w:rPr>
      </w:pPr>
      <w:r w:rsidRPr="00A05DED">
        <w:rPr>
          <w:sz w:val="22"/>
          <w:szCs w:val="22"/>
        </w:rPr>
        <w:t xml:space="preserve">The </w:t>
      </w:r>
      <w:smartTag w:uri="urn:schemas-microsoft-com:office:smarttags" w:element="place">
        <w:smartTag w:uri="urn:schemas-microsoft-com:office:smarttags" w:element="City">
          <w:r w:rsidRPr="00A05DED">
            <w:rPr>
              <w:sz w:val="22"/>
              <w:szCs w:val="22"/>
            </w:rPr>
            <w:t>Munich</w:t>
          </w:r>
        </w:smartTag>
      </w:smartTag>
      <w:r w:rsidRPr="00A05DED">
        <w:rPr>
          <w:sz w:val="22"/>
          <w:szCs w:val="22"/>
        </w:rPr>
        <w:t xml:space="preserve"> Re Programme - Evaluating the economics of climate risks and opportunities in the insurance sector </w:t>
      </w:r>
    </w:p>
    <w:p w:rsidR="005B2272" w:rsidRPr="00A05DED" w:rsidRDefault="005B2272" w:rsidP="005B2272">
      <w:pPr>
        <w:jc w:val="both"/>
        <w:rPr>
          <w:sz w:val="22"/>
          <w:szCs w:val="22"/>
        </w:rPr>
      </w:pPr>
      <w:r w:rsidRPr="00A05DED">
        <w:rPr>
          <w:sz w:val="22"/>
          <w:szCs w:val="22"/>
        </w:rPr>
        <w:t xml:space="preserve">More information about the Centre for Climate Change Economics and </w:t>
      </w:r>
      <w:proofErr w:type="gramStart"/>
      <w:r w:rsidRPr="00A05DED">
        <w:rPr>
          <w:sz w:val="22"/>
          <w:szCs w:val="22"/>
        </w:rPr>
        <w:t>Policy</w:t>
      </w:r>
      <w:r w:rsidR="00AD33AC" w:rsidRPr="00A05DED">
        <w:rPr>
          <w:sz w:val="22"/>
          <w:szCs w:val="22"/>
        </w:rPr>
        <w:t>,</w:t>
      </w:r>
      <w:proofErr w:type="gramEnd"/>
      <w:r w:rsidR="00AD33AC" w:rsidRPr="00A05DED">
        <w:rPr>
          <w:sz w:val="22"/>
          <w:szCs w:val="22"/>
        </w:rPr>
        <w:t xml:space="preserve"> </w:t>
      </w:r>
      <w:r w:rsidRPr="00A05DED">
        <w:rPr>
          <w:sz w:val="22"/>
          <w:szCs w:val="22"/>
        </w:rPr>
        <w:t xml:space="preserve">can be found at: </w:t>
      </w:r>
      <w:hyperlink r:id="rId9" w:history="1">
        <w:r w:rsidRPr="00A05DED">
          <w:rPr>
            <w:rStyle w:val="Hyperlink"/>
            <w:sz w:val="22"/>
            <w:szCs w:val="22"/>
          </w:rPr>
          <w:t>http://www.cccep.ac.uk</w:t>
        </w:r>
      </w:hyperlink>
      <w:r w:rsidRPr="00A05DED">
        <w:rPr>
          <w:sz w:val="22"/>
          <w:szCs w:val="22"/>
        </w:rPr>
        <w:t>.</w:t>
      </w:r>
    </w:p>
    <w:p w:rsidR="005B2272" w:rsidRPr="00A05DED" w:rsidRDefault="005B2272" w:rsidP="005B2272">
      <w:pPr>
        <w:jc w:val="both"/>
        <w:rPr>
          <w:sz w:val="22"/>
          <w:szCs w:val="22"/>
        </w:rPr>
      </w:pPr>
    </w:p>
    <w:p w:rsidR="001C7073" w:rsidRPr="00A05DED" w:rsidRDefault="00AD33AC" w:rsidP="001C7073">
      <w:pPr>
        <w:autoSpaceDE w:val="0"/>
        <w:autoSpaceDN w:val="0"/>
        <w:adjustRightInd w:val="0"/>
        <w:spacing w:before="0" w:line="240" w:lineRule="auto"/>
        <w:rPr>
          <w:sz w:val="22"/>
          <w:szCs w:val="22"/>
        </w:rPr>
      </w:pPr>
      <w:r w:rsidRPr="00A05DED">
        <w:rPr>
          <w:bCs/>
          <w:sz w:val="22"/>
          <w:szCs w:val="22"/>
        </w:rPr>
        <w:t>CCCEP at Leeds is situated within t</w:t>
      </w:r>
      <w:r w:rsidR="001C7073" w:rsidRPr="00A05DED">
        <w:rPr>
          <w:bCs/>
          <w:sz w:val="22"/>
          <w:szCs w:val="22"/>
        </w:rPr>
        <w:t>he</w:t>
      </w:r>
      <w:r w:rsidR="001C7073" w:rsidRPr="00A05DED">
        <w:rPr>
          <w:b/>
          <w:bCs/>
          <w:sz w:val="22"/>
          <w:szCs w:val="22"/>
        </w:rPr>
        <w:t xml:space="preserve"> Sustainability Research Institute (SRI)</w:t>
      </w:r>
      <w:r w:rsidRPr="00A05DED">
        <w:rPr>
          <w:sz w:val="22"/>
          <w:szCs w:val="22"/>
        </w:rPr>
        <w:t>,</w:t>
      </w:r>
      <w:r w:rsidR="001C7073" w:rsidRPr="00A05DED">
        <w:rPr>
          <w:sz w:val="22"/>
          <w:szCs w:val="22"/>
        </w:rPr>
        <w:t xml:space="preserve"> a dedicated team of over </w:t>
      </w:r>
      <w:r w:rsidRPr="00A05DED">
        <w:rPr>
          <w:sz w:val="22"/>
          <w:szCs w:val="22"/>
        </w:rPr>
        <w:t>3</w:t>
      </w:r>
      <w:r w:rsidR="001C7073" w:rsidRPr="00A05DED">
        <w:rPr>
          <w:sz w:val="22"/>
          <w:szCs w:val="22"/>
        </w:rPr>
        <w:t>0 researchers</w:t>
      </w:r>
      <w:r w:rsidRPr="00A05DED">
        <w:rPr>
          <w:sz w:val="22"/>
          <w:szCs w:val="22"/>
        </w:rPr>
        <w:t xml:space="preserve"> </w:t>
      </w:r>
      <w:r w:rsidR="001C7073" w:rsidRPr="00A05DED">
        <w:rPr>
          <w:sz w:val="22"/>
          <w:szCs w:val="22"/>
        </w:rPr>
        <w:t>working on different aspects of sustainability at the University of Leeds. Adapting to</w:t>
      </w:r>
      <w:r w:rsidRPr="00A05DED">
        <w:rPr>
          <w:sz w:val="22"/>
          <w:szCs w:val="22"/>
        </w:rPr>
        <w:t xml:space="preserve"> </w:t>
      </w:r>
      <w:r w:rsidR="001C7073" w:rsidRPr="00A05DED">
        <w:rPr>
          <w:sz w:val="22"/>
          <w:szCs w:val="22"/>
        </w:rPr>
        <w:t>environmental change and governance for sustainability are the Institute’s overarching</w:t>
      </w:r>
      <w:r w:rsidRPr="00A05DED">
        <w:rPr>
          <w:sz w:val="22"/>
          <w:szCs w:val="22"/>
        </w:rPr>
        <w:t xml:space="preserve"> </w:t>
      </w:r>
      <w:r w:rsidR="001C7073" w:rsidRPr="00A05DED">
        <w:rPr>
          <w:sz w:val="22"/>
          <w:szCs w:val="22"/>
        </w:rPr>
        <w:t>themes. SRI research explores these in interdisciplinary ways, drawing on geography,</w:t>
      </w:r>
      <w:r w:rsidRPr="00A05DED">
        <w:rPr>
          <w:sz w:val="22"/>
          <w:szCs w:val="22"/>
        </w:rPr>
        <w:t xml:space="preserve"> </w:t>
      </w:r>
      <w:r w:rsidR="001C7073" w:rsidRPr="00A05DED">
        <w:rPr>
          <w:sz w:val="22"/>
          <w:szCs w:val="22"/>
        </w:rPr>
        <w:t>ecology, sociology, politics, planning, economics and management. Our specialist areas are:</w:t>
      </w:r>
      <w:r w:rsidRPr="00A05DED">
        <w:rPr>
          <w:sz w:val="22"/>
          <w:szCs w:val="22"/>
        </w:rPr>
        <w:t xml:space="preserve"> </w:t>
      </w:r>
      <w:r w:rsidR="001C7073" w:rsidRPr="00A05DED">
        <w:rPr>
          <w:sz w:val="22"/>
          <w:szCs w:val="22"/>
        </w:rPr>
        <w:t>sustainable development and environmental change; environmental policy, planning and</w:t>
      </w:r>
      <w:r w:rsidRPr="00A05DED">
        <w:rPr>
          <w:sz w:val="22"/>
          <w:szCs w:val="22"/>
        </w:rPr>
        <w:t xml:space="preserve"> </w:t>
      </w:r>
      <w:r w:rsidR="001C7073" w:rsidRPr="00A05DED">
        <w:rPr>
          <w:sz w:val="22"/>
          <w:szCs w:val="22"/>
        </w:rPr>
        <w:t>governance; ecological and environmental economics; business, environment and corporate</w:t>
      </w:r>
      <w:r w:rsidRPr="00A05DED">
        <w:rPr>
          <w:sz w:val="22"/>
          <w:szCs w:val="22"/>
        </w:rPr>
        <w:t xml:space="preserve"> </w:t>
      </w:r>
      <w:r w:rsidR="001C7073" w:rsidRPr="00A05DED">
        <w:rPr>
          <w:sz w:val="22"/>
          <w:szCs w:val="22"/>
        </w:rPr>
        <w:t>responsibility; sustainable production and consumption.</w:t>
      </w:r>
    </w:p>
    <w:p w:rsidR="001C7073" w:rsidRPr="00A05DED" w:rsidRDefault="001C7073" w:rsidP="001C7073">
      <w:pPr>
        <w:autoSpaceDE w:val="0"/>
        <w:autoSpaceDN w:val="0"/>
        <w:adjustRightInd w:val="0"/>
        <w:spacing w:before="0" w:line="240" w:lineRule="auto"/>
        <w:rPr>
          <w:sz w:val="22"/>
          <w:szCs w:val="22"/>
        </w:rPr>
      </w:pPr>
    </w:p>
    <w:p w:rsidR="001C7073" w:rsidRPr="00A05DED" w:rsidRDefault="001C7073" w:rsidP="001C7073">
      <w:pPr>
        <w:autoSpaceDE w:val="0"/>
        <w:autoSpaceDN w:val="0"/>
        <w:adjustRightInd w:val="0"/>
        <w:spacing w:before="0" w:line="240" w:lineRule="auto"/>
        <w:rPr>
          <w:sz w:val="22"/>
          <w:szCs w:val="22"/>
        </w:rPr>
      </w:pPr>
      <w:r w:rsidRPr="00A05DED">
        <w:rPr>
          <w:sz w:val="22"/>
          <w:szCs w:val="22"/>
        </w:rPr>
        <w:t>More information about the Sustainability Research Institute can be found at:</w:t>
      </w:r>
    </w:p>
    <w:p w:rsidR="001C7073" w:rsidRPr="00A05DED" w:rsidRDefault="00F54804" w:rsidP="001C7073">
      <w:pPr>
        <w:autoSpaceDE w:val="0"/>
        <w:autoSpaceDN w:val="0"/>
        <w:adjustRightInd w:val="0"/>
        <w:spacing w:before="0" w:line="240" w:lineRule="auto"/>
      </w:pPr>
      <w:hyperlink r:id="rId10" w:history="1">
        <w:r w:rsidR="001C7073" w:rsidRPr="00A05DED">
          <w:rPr>
            <w:rStyle w:val="Hyperlink"/>
          </w:rPr>
          <w:t>http://www.see.leeds.ac.uk/sri</w:t>
        </w:r>
      </w:hyperlink>
    </w:p>
    <w:p w:rsidR="001C7073" w:rsidRPr="00A05DED" w:rsidRDefault="001C7073" w:rsidP="001C7073">
      <w:pPr>
        <w:autoSpaceDE w:val="0"/>
        <w:autoSpaceDN w:val="0"/>
        <w:adjustRightInd w:val="0"/>
        <w:spacing w:before="0" w:line="240" w:lineRule="auto"/>
      </w:pPr>
    </w:p>
    <w:p w:rsidR="005B2272" w:rsidRPr="00A05DED" w:rsidRDefault="005B2272" w:rsidP="005B2272">
      <w:pPr>
        <w:jc w:val="both"/>
      </w:pP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4F42A5" w:rsidP="004F42A5">
      <w:pPr>
        <w:autoSpaceDE w:val="0"/>
        <w:autoSpaceDN w:val="0"/>
        <w:adjustRightInd w:val="0"/>
        <w:spacing w:before="0" w:line="240" w:lineRule="auto"/>
        <w:rPr>
          <w:sz w:val="22"/>
          <w:szCs w:val="22"/>
        </w:rPr>
      </w:pPr>
      <w:r w:rsidRPr="00A05DED">
        <w:rPr>
          <w:sz w:val="22"/>
          <w:szCs w:val="22"/>
        </w:rPr>
        <w:t xml:space="preserve">This </w:t>
      </w:r>
      <w:r w:rsidR="00AD7821" w:rsidRPr="00A05DED">
        <w:rPr>
          <w:sz w:val="22"/>
          <w:szCs w:val="22"/>
        </w:rPr>
        <w:t>briefing note</w:t>
      </w:r>
      <w:r w:rsidRPr="00A05DED">
        <w:rPr>
          <w:sz w:val="22"/>
          <w:szCs w:val="22"/>
        </w:rPr>
        <w:t xml:space="preserve"> is intended to inform decision-makers in the public, private and third sectors.  The views expressed in this </w:t>
      </w:r>
      <w:r w:rsidR="00AD7821" w:rsidRPr="00A05DED">
        <w:rPr>
          <w:sz w:val="22"/>
          <w:szCs w:val="22"/>
        </w:rPr>
        <w:t xml:space="preserve">note </w:t>
      </w:r>
      <w:r w:rsidRPr="00A05DED">
        <w:rPr>
          <w:sz w:val="22"/>
          <w:szCs w:val="22"/>
        </w:rPr>
        <w:t>represent those of the author(s) and do not necessarily represent those of the host institutions or funders.</w:t>
      </w: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5B2272" w:rsidP="005B2272">
      <w:pPr>
        <w:jc w:val="both"/>
        <w:rPr>
          <w:sz w:val="22"/>
          <w:szCs w:val="22"/>
        </w:rPr>
      </w:pPr>
    </w:p>
    <w:p w:rsidR="005B2272" w:rsidRPr="00A05DED" w:rsidRDefault="005B2272" w:rsidP="005B2272">
      <w:pPr>
        <w:pStyle w:val="LEUFPSubtitle"/>
        <w:spacing w:line="360" w:lineRule="auto"/>
        <w:jc w:val="center"/>
        <w:rPr>
          <w:rFonts w:cs="Arial"/>
          <w:sz w:val="22"/>
          <w:szCs w:val="22"/>
        </w:rPr>
      </w:pPr>
    </w:p>
    <w:p w:rsidR="005B2272" w:rsidRPr="00A05DED" w:rsidRDefault="00E01811" w:rsidP="005B2272">
      <w:pPr>
        <w:pStyle w:val="LEUFPSubtitle"/>
        <w:spacing w:line="360" w:lineRule="auto"/>
        <w:jc w:val="center"/>
        <w:rPr>
          <w:rFonts w:cs="Arial"/>
          <w:sz w:val="22"/>
          <w:szCs w:val="22"/>
          <w:lang w:val="it-IT"/>
        </w:rPr>
      </w:pPr>
      <w:r w:rsidRPr="00A05DED">
        <w:rPr>
          <w:rFonts w:cs="Arial"/>
          <w:sz w:val="22"/>
          <w:szCs w:val="22"/>
          <w:lang w:val="it-IT"/>
        </w:rPr>
        <w:t>© N.Jagger, T. Foxon and A. Gouldson</w:t>
      </w:r>
      <w:r w:rsidR="005B2272" w:rsidRPr="00A05DED">
        <w:rPr>
          <w:rFonts w:cs="Arial"/>
          <w:sz w:val="22"/>
          <w:szCs w:val="22"/>
          <w:lang w:val="it-IT"/>
        </w:rPr>
        <w:t xml:space="preserve"> 2012</w:t>
      </w:r>
    </w:p>
    <w:p w:rsidR="005B2272" w:rsidRPr="00A05DED" w:rsidRDefault="005B2272" w:rsidP="005B2272">
      <w:pPr>
        <w:jc w:val="center"/>
        <w:rPr>
          <w:sz w:val="22"/>
          <w:szCs w:val="22"/>
          <w:lang w:eastAsia="zh-TW"/>
        </w:rPr>
      </w:pPr>
      <w:r w:rsidRPr="00A05DED">
        <w:rPr>
          <w:sz w:val="22"/>
          <w:szCs w:val="22"/>
          <w:lang w:eastAsia="zh-TW"/>
        </w:rPr>
        <w:t>Contact: n.s.b.jagger@leeds.ac.uk</w:t>
      </w:r>
    </w:p>
    <w:p w:rsidR="005B2272" w:rsidRPr="00A05DED" w:rsidRDefault="005B2272">
      <w:pPr>
        <w:spacing w:before="0" w:after="200"/>
        <w:rPr>
          <w:b/>
          <w:sz w:val="22"/>
          <w:szCs w:val="22"/>
        </w:rPr>
      </w:pPr>
      <w:r w:rsidRPr="00A05DED">
        <w:rPr>
          <w:b/>
          <w:sz w:val="22"/>
          <w:szCs w:val="22"/>
        </w:rPr>
        <w:br w:type="page"/>
      </w:r>
    </w:p>
    <w:p w:rsidR="00061FCB" w:rsidRPr="00A05DED" w:rsidRDefault="00061FCB" w:rsidP="002A237B">
      <w:pPr>
        <w:rPr>
          <w:b/>
        </w:rPr>
      </w:pPr>
      <w:r w:rsidRPr="00A05DED">
        <w:rPr>
          <w:b/>
        </w:rPr>
        <w:lastRenderedPageBreak/>
        <w:t>Introduction</w:t>
      </w:r>
    </w:p>
    <w:p w:rsidR="00EF428C" w:rsidRPr="00A05DED" w:rsidRDefault="0045289A">
      <w:pPr>
        <w:tabs>
          <w:tab w:val="left" w:pos="426"/>
        </w:tabs>
        <w:jc w:val="both"/>
        <w:rPr>
          <w:sz w:val="22"/>
          <w:szCs w:val="22"/>
        </w:rPr>
      </w:pPr>
      <w:r w:rsidRPr="00A05DED">
        <w:rPr>
          <w:sz w:val="22"/>
          <w:szCs w:val="22"/>
        </w:rPr>
        <w:t xml:space="preserve">The transition to a low carbon economy will require sufficient people with appropriate qualifications and skills to manufacture, install, operate and maintain </w:t>
      </w:r>
      <w:r w:rsidR="000B2781" w:rsidRPr="00A05DED">
        <w:rPr>
          <w:sz w:val="22"/>
          <w:szCs w:val="22"/>
        </w:rPr>
        <w:t>a range of</w:t>
      </w:r>
      <w:r w:rsidRPr="00A05DED">
        <w:rPr>
          <w:sz w:val="22"/>
          <w:szCs w:val="22"/>
        </w:rPr>
        <w:t xml:space="preserve"> low carbon technologies and approaches. The actual numbers and types of skills required are uncertain and will depend on the speed and dire</w:t>
      </w:r>
      <w:r w:rsidR="009847E4" w:rsidRPr="00A05DED">
        <w:rPr>
          <w:sz w:val="22"/>
          <w:szCs w:val="22"/>
        </w:rPr>
        <w:t xml:space="preserve">ction of the </w:t>
      </w:r>
      <w:r w:rsidR="000B2781" w:rsidRPr="00A05DED">
        <w:rPr>
          <w:sz w:val="22"/>
          <w:szCs w:val="22"/>
        </w:rPr>
        <w:t>transition pathway</w:t>
      </w:r>
      <w:r w:rsidRPr="00A05DED">
        <w:rPr>
          <w:sz w:val="22"/>
          <w:szCs w:val="22"/>
        </w:rPr>
        <w:t xml:space="preserve">, but there are reasons to doubt that market mechanisms </w:t>
      </w:r>
      <w:r w:rsidR="002210C9" w:rsidRPr="00A05DED">
        <w:rPr>
          <w:sz w:val="22"/>
          <w:szCs w:val="22"/>
        </w:rPr>
        <w:t xml:space="preserve">alone </w:t>
      </w:r>
      <w:r w:rsidRPr="00A05DED">
        <w:rPr>
          <w:sz w:val="22"/>
          <w:szCs w:val="22"/>
        </w:rPr>
        <w:t xml:space="preserve">will deliver the necessary skilled workers in a timely manner. </w:t>
      </w:r>
      <w:r w:rsidR="002210C9" w:rsidRPr="00A05DED">
        <w:rPr>
          <w:sz w:val="22"/>
          <w:szCs w:val="22"/>
        </w:rPr>
        <w:t xml:space="preserve">This briefing </w:t>
      </w:r>
      <w:r w:rsidR="00AD7821" w:rsidRPr="00A05DED">
        <w:rPr>
          <w:sz w:val="22"/>
          <w:szCs w:val="22"/>
        </w:rPr>
        <w:t xml:space="preserve">note </w:t>
      </w:r>
      <w:r w:rsidR="002210C9" w:rsidRPr="00A05DED">
        <w:rPr>
          <w:sz w:val="22"/>
          <w:szCs w:val="22"/>
        </w:rPr>
        <w:t xml:space="preserve">reports on work being undertaken by the Centre for Climate Change Economics and Policy to examine the roles of government, market and societal actors to ensure that appropriate and necessary skills and training provision are put in place to ensure that the UK can gain the economic and employment benefits of a low carbon transition. </w:t>
      </w:r>
    </w:p>
    <w:p w:rsidR="00EF428C" w:rsidRPr="00A05DED" w:rsidRDefault="0045289A">
      <w:pPr>
        <w:jc w:val="both"/>
        <w:rPr>
          <w:sz w:val="22"/>
          <w:szCs w:val="22"/>
        </w:rPr>
      </w:pPr>
      <w:r w:rsidRPr="00A05DED">
        <w:rPr>
          <w:sz w:val="22"/>
          <w:szCs w:val="22"/>
        </w:rPr>
        <w:t xml:space="preserve">Despite the recession </w:t>
      </w:r>
      <w:r w:rsidR="004F477E" w:rsidRPr="00A05DED">
        <w:rPr>
          <w:sz w:val="22"/>
          <w:szCs w:val="22"/>
        </w:rPr>
        <w:t>reducing capacity challenges in some areas</w:t>
      </w:r>
      <w:r w:rsidR="002210C9" w:rsidRPr="00A05DED">
        <w:rPr>
          <w:sz w:val="22"/>
          <w:szCs w:val="22"/>
        </w:rPr>
        <w:t>,</w:t>
      </w:r>
      <w:r w:rsidRPr="00A05DED">
        <w:rPr>
          <w:sz w:val="22"/>
          <w:szCs w:val="22"/>
        </w:rPr>
        <w:t xml:space="preserve"> the low carbon transition</w:t>
      </w:r>
      <w:r w:rsidR="002210C9" w:rsidRPr="00A05DED">
        <w:rPr>
          <w:sz w:val="22"/>
          <w:szCs w:val="22"/>
        </w:rPr>
        <w:t xml:space="preserve"> in the UK</w:t>
      </w:r>
      <w:r w:rsidRPr="00A05DED">
        <w:rPr>
          <w:sz w:val="22"/>
          <w:szCs w:val="22"/>
        </w:rPr>
        <w:t xml:space="preserve"> could</w:t>
      </w:r>
      <w:r w:rsidR="002210C9" w:rsidRPr="00A05DED">
        <w:rPr>
          <w:sz w:val="22"/>
          <w:szCs w:val="22"/>
        </w:rPr>
        <w:t xml:space="preserve"> still</w:t>
      </w:r>
      <w:r w:rsidRPr="00A05DED">
        <w:rPr>
          <w:sz w:val="22"/>
          <w:szCs w:val="22"/>
        </w:rPr>
        <w:t xml:space="preserve"> be held back as a result of skills shortages. This could mean that the UK does not benefit from a speedy and effective transition or does not gain the maximum economic and employment benefits fr</w:t>
      </w:r>
      <w:r w:rsidR="00893612" w:rsidRPr="00A05DED">
        <w:rPr>
          <w:sz w:val="22"/>
          <w:szCs w:val="22"/>
        </w:rPr>
        <w:t>om the transition. There appear</w:t>
      </w:r>
      <w:r w:rsidRPr="00A05DED">
        <w:rPr>
          <w:sz w:val="22"/>
          <w:szCs w:val="22"/>
        </w:rPr>
        <w:t xml:space="preserve"> to be issues of policy design and delivery as well as a range of roles for various low carbon stakeholders that need to be identified and addressed. T</w:t>
      </w:r>
      <w:r w:rsidR="00893612" w:rsidRPr="00A05DED">
        <w:rPr>
          <w:sz w:val="22"/>
          <w:szCs w:val="22"/>
        </w:rPr>
        <w:t>he patterns of governance in this</w:t>
      </w:r>
      <w:r w:rsidRPr="00A05DED">
        <w:rPr>
          <w:sz w:val="22"/>
          <w:szCs w:val="22"/>
        </w:rPr>
        <w:t xml:space="preserve"> area and the ability of Government</w:t>
      </w:r>
      <w:r w:rsidR="00893612" w:rsidRPr="00A05DED">
        <w:rPr>
          <w:sz w:val="22"/>
          <w:szCs w:val="22"/>
        </w:rPr>
        <w:t xml:space="preserve"> </w:t>
      </w:r>
      <w:r w:rsidRPr="00A05DED">
        <w:rPr>
          <w:sz w:val="22"/>
          <w:szCs w:val="22"/>
        </w:rPr>
        <w:t>to intervene</w:t>
      </w:r>
      <w:r w:rsidR="00893612" w:rsidRPr="00A05DED">
        <w:rPr>
          <w:sz w:val="22"/>
          <w:szCs w:val="22"/>
        </w:rPr>
        <w:t>, in a financially constrained environment,</w:t>
      </w:r>
      <w:r w:rsidRPr="00A05DED">
        <w:rPr>
          <w:sz w:val="22"/>
          <w:szCs w:val="22"/>
        </w:rPr>
        <w:t xml:space="preserve"> are critical. Th</w:t>
      </w:r>
      <w:r w:rsidR="002210C9" w:rsidRPr="00A05DED">
        <w:rPr>
          <w:sz w:val="22"/>
          <w:szCs w:val="22"/>
        </w:rPr>
        <w:t xml:space="preserve">is briefing note and the associated </w:t>
      </w:r>
      <w:r w:rsidRPr="00A05DED">
        <w:rPr>
          <w:sz w:val="22"/>
          <w:szCs w:val="22"/>
        </w:rPr>
        <w:t xml:space="preserve">workshop aim to identify these issues and </w:t>
      </w:r>
      <w:r w:rsidR="00893612" w:rsidRPr="00A05DED">
        <w:rPr>
          <w:sz w:val="22"/>
          <w:szCs w:val="22"/>
        </w:rPr>
        <w:t>propose constructive ways forward</w:t>
      </w:r>
      <w:r w:rsidRPr="00A05DED">
        <w:rPr>
          <w:sz w:val="22"/>
          <w:szCs w:val="22"/>
        </w:rPr>
        <w:t xml:space="preserve">. </w:t>
      </w:r>
    </w:p>
    <w:p w:rsidR="00EF428C" w:rsidRPr="00A05DED" w:rsidRDefault="00061FCB">
      <w:pPr>
        <w:jc w:val="both"/>
        <w:rPr>
          <w:sz w:val="22"/>
          <w:szCs w:val="22"/>
        </w:rPr>
      </w:pPr>
      <w:r w:rsidRPr="00A05DED">
        <w:rPr>
          <w:sz w:val="22"/>
          <w:szCs w:val="22"/>
        </w:rPr>
        <w:t>Previous work by the authors has</w:t>
      </w:r>
      <w:r w:rsidR="0045289A" w:rsidRPr="00A05DED">
        <w:rPr>
          <w:sz w:val="22"/>
          <w:szCs w:val="22"/>
        </w:rPr>
        <w:t xml:space="preserve"> identified</w:t>
      </w:r>
      <w:r w:rsidR="0045289A" w:rsidRPr="00A05DED">
        <w:rPr>
          <w:rStyle w:val="EndnoteReference"/>
          <w:sz w:val="22"/>
          <w:szCs w:val="22"/>
        </w:rPr>
        <w:endnoteReference w:id="1"/>
      </w:r>
      <w:r w:rsidR="0045289A" w:rsidRPr="00A05DED">
        <w:rPr>
          <w:sz w:val="22"/>
          <w:szCs w:val="22"/>
        </w:rPr>
        <w:t xml:space="preserve"> </w:t>
      </w:r>
      <w:r w:rsidRPr="00A05DED">
        <w:rPr>
          <w:sz w:val="22"/>
          <w:szCs w:val="22"/>
        </w:rPr>
        <w:t xml:space="preserve">a number of </w:t>
      </w:r>
      <w:r w:rsidRPr="00A05DED">
        <w:rPr>
          <w:b/>
          <w:i/>
          <w:sz w:val="22"/>
          <w:szCs w:val="22"/>
        </w:rPr>
        <w:t xml:space="preserve">potential </w:t>
      </w:r>
      <w:proofErr w:type="gramStart"/>
      <w:r w:rsidRPr="00A05DED">
        <w:rPr>
          <w:b/>
          <w:i/>
          <w:sz w:val="22"/>
          <w:szCs w:val="22"/>
        </w:rPr>
        <w:t>market</w:t>
      </w:r>
      <w:proofErr w:type="gramEnd"/>
      <w:r w:rsidRPr="00A05DED">
        <w:rPr>
          <w:b/>
          <w:i/>
          <w:sz w:val="22"/>
          <w:szCs w:val="22"/>
        </w:rPr>
        <w:t xml:space="preserve">, government and governance </w:t>
      </w:r>
      <w:r w:rsidR="00482C6A" w:rsidRPr="00A05DED">
        <w:rPr>
          <w:b/>
          <w:i/>
          <w:sz w:val="22"/>
          <w:szCs w:val="22"/>
        </w:rPr>
        <w:t>constraints</w:t>
      </w:r>
      <w:r w:rsidRPr="00A05DED">
        <w:rPr>
          <w:b/>
          <w:sz w:val="22"/>
          <w:szCs w:val="22"/>
        </w:rPr>
        <w:t xml:space="preserve"> </w:t>
      </w:r>
      <w:r w:rsidRPr="00A05DED">
        <w:rPr>
          <w:b/>
          <w:i/>
          <w:sz w:val="22"/>
          <w:szCs w:val="22"/>
        </w:rPr>
        <w:t>relating to the provision of low carbon skills</w:t>
      </w:r>
      <w:r w:rsidRPr="00A05DED">
        <w:rPr>
          <w:sz w:val="22"/>
          <w:szCs w:val="22"/>
        </w:rPr>
        <w:t xml:space="preserve">. These include </w:t>
      </w:r>
      <w:r w:rsidR="0045289A" w:rsidRPr="00A05DED">
        <w:rPr>
          <w:sz w:val="22"/>
          <w:szCs w:val="22"/>
        </w:rPr>
        <w:t>four generic skills issues:</w:t>
      </w:r>
    </w:p>
    <w:p w:rsidR="00EF428C" w:rsidRPr="00A05DED" w:rsidRDefault="0045289A">
      <w:pPr>
        <w:pStyle w:val="ListParagraph"/>
        <w:numPr>
          <w:ilvl w:val="0"/>
          <w:numId w:val="11"/>
        </w:numPr>
        <w:jc w:val="both"/>
        <w:rPr>
          <w:sz w:val="22"/>
          <w:szCs w:val="22"/>
        </w:rPr>
      </w:pPr>
      <w:r w:rsidRPr="00A05DED">
        <w:rPr>
          <w:b/>
          <w:sz w:val="22"/>
          <w:szCs w:val="22"/>
        </w:rPr>
        <w:t>Short term attitudes</w:t>
      </w:r>
      <w:r w:rsidRPr="00A05DED">
        <w:rPr>
          <w:sz w:val="22"/>
          <w:szCs w:val="22"/>
        </w:rPr>
        <w:t xml:space="preserve"> – the </w:t>
      </w:r>
      <w:r w:rsidR="00061FCB" w:rsidRPr="00A05DED">
        <w:rPr>
          <w:sz w:val="22"/>
          <w:szCs w:val="22"/>
        </w:rPr>
        <w:t>short-te</w:t>
      </w:r>
      <w:r w:rsidR="00E67CE4" w:rsidRPr="00A05DED">
        <w:rPr>
          <w:sz w:val="22"/>
          <w:szCs w:val="22"/>
        </w:rPr>
        <w:t>r</w:t>
      </w:r>
      <w:r w:rsidR="00061FCB" w:rsidRPr="00A05DED">
        <w:rPr>
          <w:sz w:val="22"/>
          <w:szCs w:val="22"/>
        </w:rPr>
        <w:t xml:space="preserve">m nature of decision-making can deter employers from </w:t>
      </w:r>
      <w:r w:rsidRPr="00A05DED">
        <w:rPr>
          <w:sz w:val="22"/>
          <w:szCs w:val="22"/>
        </w:rPr>
        <w:t>providing sufficient training or recruiting appropriately trained individuals</w:t>
      </w:r>
      <w:r w:rsidR="00061FCB" w:rsidRPr="00A05DED">
        <w:rPr>
          <w:sz w:val="22"/>
          <w:szCs w:val="22"/>
        </w:rPr>
        <w:t>;</w:t>
      </w:r>
    </w:p>
    <w:p w:rsidR="00EF428C" w:rsidRPr="00A05DED" w:rsidRDefault="0045289A">
      <w:pPr>
        <w:pStyle w:val="ListParagraph"/>
        <w:numPr>
          <w:ilvl w:val="0"/>
          <w:numId w:val="11"/>
        </w:numPr>
        <w:jc w:val="both"/>
        <w:rPr>
          <w:sz w:val="22"/>
          <w:szCs w:val="22"/>
        </w:rPr>
      </w:pPr>
      <w:r w:rsidRPr="00A05DED">
        <w:rPr>
          <w:b/>
          <w:sz w:val="22"/>
          <w:szCs w:val="22"/>
        </w:rPr>
        <w:t>Labour market structures</w:t>
      </w:r>
      <w:r w:rsidRPr="00A05DED">
        <w:rPr>
          <w:sz w:val="22"/>
          <w:szCs w:val="22"/>
        </w:rPr>
        <w:t xml:space="preserve"> – the small size of most companies and the prevalence of sub-contracting in the construction sector </w:t>
      </w:r>
      <w:r w:rsidR="00061FCB" w:rsidRPr="00A05DED">
        <w:rPr>
          <w:sz w:val="22"/>
          <w:szCs w:val="22"/>
        </w:rPr>
        <w:t xml:space="preserve">can </w:t>
      </w:r>
      <w:r w:rsidRPr="00A05DED">
        <w:rPr>
          <w:sz w:val="22"/>
          <w:szCs w:val="22"/>
        </w:rPr>
        <w:t>hold back training and multi-skilling</w:t>
      </w:r>
      <w:r w:rsidR="00061FCB" w:rsidRPr="00A05DED">
        <w:rPr>
          <w:sz w:val="22"/>
          <w:szCs w:val="22"/>
        </w:rPr>
        <w:t>;</w:t>
      </w:r>
    </w:p>
    <w:p w:rsidR="00EF428C" w:rsidRPr="00A05DED" w:rsidRDefault="00061FCB">
      <w:pPr>
        <w:pStyle w:val="ListParagraph"/>
        <w:numPr>
          <w:ilvl w:val="0"/>
          <w:numId w:val="11"/>
        </w:numPr>
        <w:jc w:val="both"/>
        <w:rPr>
          <w:sz w:val="22"/>
          <w:szCs w:val="22"/>
        </w:rPr>
      </w:pPr>
      <w:r w:rsidRPr="00A05DED">
        <w:rPr>
          <w:b/>
          <w:sz w:val="22"/>
          <w:szCs w:val="22"/>
        </w:rPr>
        <w:t>Appropriability of skilled employees</w:t>
      </w:r>
      <w:r w:rsidR="0045289A" w:rsidRPr="00A05DED">
        <w:rPr>
          <w:sz w:val="22"/>
          <w:szCs w:val="22"/>
        </w:rPr>
        <w:t xml:space="preserve"> – </w:t>
      </w:r>
      <w:r w:rsidR="00BD1828" w:rsidRPr="00A05DED">
        <w:rPr>
          <w:sz w:val="22"/>
          <w:szCs w:val="22"/>
        </w:rPr>
        <w:t>employers may be reluctant to provide training if the trained employees are likely to move to other companies;</w:t>
      </w:r>
    </w:p>
    <w:p w:rsidR="00EF428C" w:rsidRPr="00A05DED" w:rsidRDefault="0045289A">
      <w:pPr>
        <w:pStyle w:val="ListParagraph"/>
        <w:numPr>
          <w:ilvl w:val="0"/>
          <w:numId w:val="11"/>
        </w:numPr>
        <w:jc w:val="both"/>
        <w:rPr>
          <w:sz w:val="22"/>
          <w:szCs w:val="22"/>
        </w:rPr>
      </w:pPr>
      <w:r w:rsidRPr="00A05DED">
        <w:rPr>
          <w:b/>
          <w:sz w:val="22"/>
          <w:szCs w:val="22"/>
        </w:rPr>
        <w:t xml:space="preserve">Negative </w:t>
      </w:r>
      <w:proofErr w:type="spellStart"/>
      <w:r w:rsidRPr="00A05DED">
        <w:rPr>
          <w:b/>
          <w:sz w:val="22"/>
          <w:szCs w:val="22"/>
        </w:rPr>
        <w:t>spillovers</w:t>
      </w:r>
      <w:proofErr w:type="spellEnd"/>
      <w:r w:rsidRPr="00A05DED">
        <w:rPr>
          <w:sz w:val="22"/>
          <w:szCs w:val="22"/>
        </w:rPr>
        <w:t xml:space="preserve"> – growth in demand for specific skills in competing sectors causing skill shortages elsewhere.</w:t>
      </w:r>
    </w:p>
    <w:p w:rsidR="002E216B" w:rsidRPr="00A05DED" w:rsidRDefault="0045289A" w:rsidP="002A237B">
      <w:pPr>
        <w:rPr>
          <w:i/>
          <w:sz w:val="22"/>
          <w:szCs w:val="22"/>
        </w:rPr>
      </w:pPr>
      <w:r w:rsidRPr="00A05DED">
        <w:rPr>
          <w:sz w:val="22"/>
          <w:szCs w:val="22"/>
        </w:rPr>
        <w:t xml:space="preserve">Additionally, </w:t>
      </w:r>
      <w:r w:rsidRPr="00A05DED">
        <w:rPr>
          <w:b/>
          <w:i/>
          <w:sz w:val="22"/>
          <w:szCs w:val="22"/>
        </w:rPr>
        <w:t xml:space="preserve">four </w:t>
      </w:r>
      <w:r w:rsidR="00BD1828" w:rsidRPr="00A05DED">
        <w:rPr>
          <w:b/>
          <w:i/>
          <w:sz w:val="22"/>
          <w:szCs w:val="22"/>
        </w:rPr>
        <w:t xml:space="preserve">potential </w:t>
      </w:r>
      <w:r w:rsidR="00482C6A" w:rsidRPr="00A05DED">
        <w:rPr>
          <w:b/>
          <w:i/>
          <w:sz w:val="22"/>
          <w:szCs w:val="22"/>
        </w:rPr>
        <w:t xml:space="preserve">constraints </w:t>
      </w:r>
      <w:r w:rsidR="00BD1828" w:rsidRPr="00A05DED">
        <w:rPr>
          <w:b/>
          <w:i/>
          <w:sz w:val="22"/>
          <w:szCs w:val="22"/>
        </w:rPr>
        <w:t xml:space="preserve">were identified </w:t>
      </w:r>
      <w:r w:rsidRPr="00A05DED">
        <w:rPr>
          <w:b/>
          <w:i/>
          <w:sz w:val="22"/>
          <w:szCs w:val="22"/>
        </w:rPr>
        <w:t>that are more specific to the low carbon transition:</w:t>
      </w:r>
    </w:p>
    <w:p w:rsidR="001A6C89" w:rsidRPr="00A05DED" w:rsidRDefault="0045289A" w:rsidP="00991344">
      <w:pPr>
        <w:pStyle w:val="ListParagraph"/>
        <w:numPr>
          <w:ilvl w:val="0"/>
          <w:numId w:val="12"/>
        </w:numPr>
        <w:rPr>
          <w:sz w:val="22"/>
          <w:szCs w:val="22"/>
        </w:rPr>
      </w:pPr>
      <w:r w:rsidRPr="00A05DED">
        <w:rPr>
          <w:b/>
          <w:sz w:val="22"/>
          <w:szCs w:val="22"/>
        </w:rPr>
        <w:t>Uncertainty</w:t>
      </w:r>
      <w:r w:rsidRPr="00A05DED">
        <w:rPr>
          <w:sz w:val="22"/>
          <w:szCs w:val="22"/>
        </w:rPr>
        <w:t xml:space="preserve"> – </w:t>
      </w:r>
      <w:r w:rsidR="00BD1828" w:rsidRPr="00A05DED">
        <w:rPr>
          <w:sz w:val="22"/>
          <w:szCs w:val="22"/>
        </w:rPr>
        <w:t>uncertainty around scale and rate of implementation</w:t>
      </w:r>
      <w:r w:rsidRPr="00A05DED">
        <w:rPr>
          <w:sz w:val="22"/>
          <w:szCs w:val="22"/>
        </w:rPr>
        <w:t xml:space="preserve"> of specific low-carbon technologies and their associated skills requirements </w:t>
      </w:r>
      <w:r w:rsidR="00BD1828" w:rsidRPr="00A05DED">
        <w:rPr>
          <w:sz w:val="22"/>
          <w:szCs w:val="22"/>
        </w:rPr>
        <w:t>could</w:t>
      </w:r>
      <w:r w:rsidRPr="00A05DED">
        <w:rPr>
          <w:sz w:val="22"/>
          <w:szCs w:val="22"/>
        </w:rPr>
        <w:t xml:space="preserve"> impact on training and recruitment decisions</w:t>
      </w:r>
      <w:r w:rsidR="00BD1828" w:rsidRPr="00A05DED">
        <w:rPr>
          <w:sz w:val="22"/>
          <w:szCs w:val="22"/>
        </w:rPr>
        <w:t>;</w:t>
      </w:r>
    </w:p>
    <w:p w:rsidR="001A6C89" w:rsidRPr="00A05DED" w:rsidRDefault="0045289A" w:rsidP="00991344">
      <w:pPr>
        <w:pStyle w:val="ListParagraph"/>
        <w:numPr>
          <w:ilvl w:val="0"/>
          <w:numId w:val="12"/>
        </w:numPr>
        <w:rPr>
          <w:sz w:val="22"/>
          <w:szCs w:val="22"/>
        </w:rPr>
      </w:pPr>
      <w:r w:rsidRPr="00A05DED">
        <w:rPr>
          <w:b/>
          <w:sz w:val="22"/>
          <w:szCs w:val="22"/>
        </w:rPr>
        <w:t>Technology novelty</w:t>
      </w:r>
      <w:r w:rsidRPr="00A05DED">
        <w:rPr>
          <w:sz w:val="22"/>
          <w:szCs w:val="22"/>
        </w:rPr>
        <w:t xml:space="preserve"> – many low-carbon technologies </w:t>
      </w:r>
      <w:r w:rsidR="00BD1828" w:rsidRPr="00A05DED">
        <w:rPr>
          <w:sz w:val="22"/>
          <w:szCs w:val="22"/>
        </w:rPr>
        <w:t>may require</w:t>
      </w:r>
      <w:r w:rsidRPr="00A05DED">
        <w:rPr>
          <w:sz w:val="22"/>
          <w:szCs w:val="22"/>
        </w:rPr>
        <w:t xml:space="preserve"> novel </w:t>
      </w:r>
      <w:r w:rsidR="00BD1828" w:rsidRPr="00A05DED">
        <w:rPr>
          <w:sz w:val="22"/>
          <w:szCs w:val="22"/>
        </w:rPr>
        <w:t xml:space="preserve">skills or novel combinations of existing </w:t>
      </w:r>
      <w:r w:rsidRPr="00A05DED">
        <w:rPr>
          <w:sz w:val="22"/>
          <w:szCs w:val="22"/>
        </w:rPr>
        <w:t>skills which are currently not available</w:t>
      </w:r>
      <w:r w:rsidR="00BD1828" w:rsidRPr="00A05DED">
        <w:rPr>
          <w:sz w:val="22"/>
          <w:szCs w:val="22"/>
        </w:rPr>
        <w:t>;</w:t>
      </w:r>
    </w:p>
    <w:p w:rsidR="001A6C89" w:rsidRPr="00A05DED" w:rsidRDefault="0045289A" w:rsidP="00991344">
      <w:pPr>
        <w:pStyle w:val="ListParagraph"/>
        <w:numPr>
          <w:ilvl w:val="0"/>
          <w:numId w:val="12"/>
        </w:numPr>
        <w:rPr>
          <w:sz w:val="22"/>
          <w:szCs w:val="22"/>
        </w:rPr>
      </w:pPr>
      <w:r w:rsidRPr="00A05DED">
        <w:rPr>
          <w:b/>
          <w:sz w:val="22"/>
          <w:szCs w:val="22"/>
        </w:rPr>
        <w:t>Scale and granularity of the transition</w:t>
      </w:r>
      <w:r w:rsidRPr="00A05DED">
        <w:rPr>
          <w:sz w:val="22"/>
          <w:szCs w:val="22"/>
        </w:rPr>
        <w:t xml:space="preserve"> – some of the low-carbon technologies, notably nuclear, are large scale and require a concentrated geographically mobile workforce which can be difficult to mobilise</w:t>
      </w:r>
      <w:r w:rsidR="00BD1828" w:rsidRPr="00A05DED">
        <w:rPr>
          <w:sz w:val="22"/>
          <w:szCs w:val="22"/>
        </w:rPr>
        <w:t>;</w:t>
      </w:r>
    </w:p>
    <w:p w:rsidR="001A6C89" w:rsidRPr="00A05DED" w:rsidRDefault="00BD1828" w:rsidP="00ED7C0B">
      <w:pPr>
        <w:pStyle w:val="ListParagraph"/>
        <w:numPr>
          <w:ilvl w:val="0"/>
          <w:numId w:val="12"/>
        </w:numPr>
        <w:rPr>
          <w:sz w:val="22"/>
          <w:szCs w:val="22"/>
        </w:rPr>
      </w:pPr>
      <w:r w:rsidRPr="00A05DED">
        <w:rPr>
          <w:b/>
          <w:sz w:val="22"/>
          <w:szCs w:val="22"/>
        </w:rPr>
        <w:t>Embeddedness and i</w:t>
      </w:r>
      <w:r w:rsidR="0045289A" w:rsidRPr="00A05DED">
        <w:rPr>
          <w:b/>
          <w:sz w:val="22"/>
          <w:szCs w:val="22"/>
        </w:rPr>
        <w:t>nertia</w:t>
      </w:r>
      <w:r w:rsidR="0045289A" w:rsidRPr="00A05DED">
        <w:rPr>
          <w:sz w:val="22"/>
          <w:szCs w:val="22"/>
        </w:rPr>
        <w:t xml:space="preserve"> – </w:t>
      </w:r>
      <w:r w:rsidRPr="00A05DED">
        <w:rPr>
          <w:sz w:val="22"/>
          <w:szCs w:val="22"/>
        </w:rPr>
        <w:t xml:space="preserve">firms’ </w:t>
      </w:r>
      <w:r w:rsidR="0045289A" w:rsidRPr="00A05DED">
        <w:rPr>
          <w:sz w:val="22"/>
          <w:szCs w:val="22"/>
        </w:rPr>
        <w:t xml:space="preserve">training </w:t>
      </w:r>
      <w:r w:rsidRPr="00A05DED">
        <w:rPr>
          <w:sz w:val="22"/>
          <w:szCs w:val="22"/>
        </w:rPr>
        <w:t xml:space="preserve">processes and programmes are </w:t>
      </w:r>
      <w:r w:rsidR="0045289A" w:rsidRPr="00A05DED">
        <w:rPr>
          <w:sz w:val="22"/>
          <w:szCs w:val="22"/>
        </w:rPr>
        <w:t>often orientated towards existing and known technologies</w:t>
      </w:r>
      <w:r w:rsidRPr="00A05DED">
        <w:rPr>
          <w:sz w:val="22"/>
          <w:szCs w:val="22"/>
        </w:rPr>
        <w:t>, rather than more risky options of investing in training towards new low-carbon technologies or opportunities</w:t>
      </w:r>
      <w:r w:rsidR="0045289A" w:rsidRPr="00A05DED">
        <w:rPr>
          <w:sz w:val="22"/>
          <w:szCs w:val="22"/>
        </w:rPr>
        <w:t>.</w:t>
      </w:r>
    </w:p>
    <w:p w:rsidR="002E216B" w:rsidRPr="00A05DED" w:rsidRDefault="0031388F" w:rsidP="002A237B">
      <w:pPr>
        <w:rPr>
          <w:sz w:val="22"/>
          <w:szCs w:val="22"/>
        </w:rPr>
      </w:pPr>
      <w:r w:rsidRPr="00A05DED">
        <w:rPr>
          <w:sz w:val="22"/>
          <w:szCs w:val="22"/>
        </w:rPr>
        <w:lastRenderedPageBreak/>
        <w:t>We argue that m</w:t>
      </w:r>
      <w:r w:rsidR="0045289A" w:rsidRPr="00A05DED">
        <w:rPr>
          <w:sz w:val="22"/>
          <w:szCs w:val="22"/>
        </w:rPr>
        <w:t xml:space="preserve">ost of these </w:t>
      </w:r>
      <w:r w:rsidRPr="00A05DED">
        <w:rPr>
          <w:sz w:val="22"/>
          <w:szCs w:val="22"/>
        </w:rPr>
        <w:t>constraints</w:t>
      </w:r>
      <w:r w:rsidR="0045289A" w:rsidRPr="00A05DED">
        <w:rPr>
          <w:sz w:val="22"/>
          <w:szCs w:val="22"/>
        </w:rPr>
        <w:t xml:space="preserve">, and often a combination of multiple </w:t>
      </w:r>
      <w:r w:rsidRPr="00A05DED">
        <w:rPr>
          <w:sz w:val="22"/>
          <w:szCs w:val="22"/>
        </w:rPr>
        <w:t>constraints</w:t>
      </w:r>
      <w:r w:rsidR="0045289A" w:rsidRPr="00A05DED">
        <w:rPr>
          <w:sz w:val="22"/>
          <w:szCs w:val="22"/>
        </w:rPr>
        <w:t xml:space="preserve">, apply </w:t>
      </w:r>
      <w:r w:rsidRPr="00A05DED">
        <w:rPr>
          <w:sz w:val="22"/>
          <w:szCs w:val="22"/>
        </w:rPr>
        <w:t xml:space="preserve">in some degree </w:t>
      </w:r>
      <w:r w:rsidR="0045289A" w:rsidRPr="00A05DED">
        <w:rPr>
          <w:sz w:val="22"/>
          <w:szCs w:val="22"/>
        </w:rPr>
        <w:t>to current low carbon skills developments in the UK</w:t>
      </w:r>
      <w:r w:rsidRPr="00A05DED">
        <w:rPr>
          <w:sz w:val="22"/>
          <w:szCs w:val="22"/>
        </w:rPr>
        <w:t>,</w:t>
      </w:r>
      <w:r w:rsidR="0045289A" w:rsidRPr="00A05DED">
        <w:rPr>
          <w:sz w:val="22"/>
          <w:szCs w:val="22"/>
        </w:rPr>
        <w:t xml:space="preserve"> as well as </w:t>
      </w:r>
      <w:r w:rsidRPr="00A05DED">
        <w:rPr>
          <w:sz w:val="22"/>
          <w:szCs w:val="22"/>
        </w:rPr>
        <w:t xml:space="preserve">to </w:t>
      </w:r>
      <w:r w:rsidR="0045289A" w:rsidRPr="00A05DED">
        <w:rPr>
          <w:sz w:val="22"/>
          <w:szCs w:val="22"/>
        </w:rPr>
        <w:t xml:space="preserve">the broader Low Carbon Environmental Goods and Services (LCEGS) sector. </w:t>
      </w:r>
    </w:p>
    <w:p w:rsidR="002E216B" w:rsidRPr="00A05DED" w:rsidRDefault="0045289A" w:rsidP="002A237B">
      <w:pPr>
        <w:rPr>
          <w:sz w:val="22"/>
          <w:szCs w:val="22"/>
        </w:rPr>
      </w:pPr>
      <w:r w:rsidRPr="00A05DED">
        <w:rPr>
          <w:b/>
          <w:i/>
          <w:sz w:val="22"/>
          <w:szCs w:val="22"/>
        </w:rPr>
        <w:t xml:space="preserve">Exemplar developments which illustrate these </w:t>
      </w:r>
      <w:r w:rsidR="002F1683" w:rsidRPr="00A05DED">
        <w:rPr>
          <w:b/>
          <w:i/>
          <w:sz w:val="22"/>
          <w:szCs w:val="22"/>
        </w:rPr>
        <w:t>constraints</w:t>
      </w:r>
      <w:r w:rsidRPr="00A05DED">
        <w:rPr>
          <w:b/>
          <w:i/>
          <w:sz w:val="22"/>
          <w:szCs w:val="22"/>
        </w:rPr>
        <w:t xml:space="preserve"> include</w:t>
      </w:r>
      <w:r w:rsidRPr="00A05DED">
        <w:rPr>
          <w:sz w:val="22"/>
          <w:szCs w:val="22"/>
        </w:rPr>
        <w:t>:</w:t>
      </w:r>
    </w:p>
    <w:p w:rsidR="0048293A" w:rsidRPr="00A05DED" w:rsidRDefault="0048293A" w:rsidP="0048293A">
      <w:pPr>
        <w:pStyle w:val="ListParagraph"/>
        <w:numPr>
          <w:ilvl w:val="0"/>
          <w:numId w:val="14"/>
        </w:numPr>
        <w:rPr>
          <w:sz w:val="22"/>
          <w:szCs w:val="22"/>
        </w:rPr>
      </w:pPr>
      <w:r w:rsidRPr="00A05DED">
        <w:rPr>
          <w:b/>
          <w:sz w:val="22"/>
          <w:szCs w:val="22"/>
        </w:rPr>
        <w:t>Short term attitu</w:t>
      </w:r>
      <w:r w:rsidR="004F3825" w:rsidRPr="00A05DED">
        <w:rPr>
          <w:b/>
          <w:sz w:val="22"/>
          <w:szCs w:val="22"/>
        </w:rPr>
        <w:t>des</w:t>
      </w:r>
      <w:r w:rsidR="004F3825" w:rsidRPr="00A05DED">
        <w:rPr>
          <w:sz w:val="22"/>
          <w:szCs w:val="22"/>
        </w:rPr>
        <w:t xml:space="preserve"> –</w:t>
      </w:r>
    </w:p>
    <w:p w:rsidR="0048293A" w:rsidRPr="00A05DED" w:rsidRDefault="00414F1C" w:rsidP="0048293A">
      <w:pPr>
        <w:pStyle w:val="ListParagraph"/>
        <w:numPr>
          <w:ilvl w:val="2"/>
          <w:numId w:val="15"/>
        </w:numPr>
        <w:rPr>
          <w:sz w:val="22"/>
          <w:szCs w:val="22"/>
        </w:rPr>
      </w:pPr>
      <w:r w:rsidRPr="00A05DED">
        <w:rPr>
          <w:sz w:val="22"/>
          <w:szCs w:val="22"/>
        </w:rPr>
        <w:t>In a climate of policy uncertainty</w:t>
      </w:r>
      <w:r w:rsidR="002F1683" w:rsidRPr="00A05DED">
        <w:rPr>
          <w:sz w:val="22"/>
          <w:szCs w:val="22"/>
        </w:rPr>
        <w:t>,</w:t>
      </w:r>
      <w:r w:rsidRPr="00A05DED">
        <w:rPr>
          <w:sz w:val="22"/>
          <w:szCs w:val="22"/>
        </w:rPr>
        <w:t xml:space="preserve"> delaying investment decisions including decisions about training can be a rational response</w:t>
      </w:r>
      <w:r w:rsidRPr="00A05DED">
        <w:rPr>
          <w:rStyle w:val="EndnoteReference"/>
          <w:sz w:val="22"/>
          <w:szCs w:val="22"/>
        </w:rPr>
        <w:endnoteReference w:id="2"/>
      </w:r>
      <w:r w:rsidRPr="00A05DED">
        <w:rPr>
          <w:sz w:val="22"/>
          <w:szCs w:val="22"/>
        </w:rPr>
        <w:t>. Although this is linked to uncertainty</w:t>
      </w:r>
      <w:r w:rsidR="002F1683" w:rsidRPr="00A05DED">
        <w:rPr>
          <w:sz w:val="22"/>
          <w:szCs w:val="22"/>
        </w:rPr>
        <w:t>,</w:t>
      </w:r>
      <w:r w:rsidRPr="00A05DED">
        <w:rPr>
          <w:sz w:val="22"/>
          <w:szCs w:val="22"/>
        </w:rPr>
        <w:t xml:space="preserve"> it is often difficult for employers to </w:t>
      </w:r>
      <w:r w:rsidR="00DE03C8" w:rsidRPr="00A05DED">
        <w:rPr>
          <w:sz w:val="22"/>
          <w:szCs w:val="22"/>
        </w:rPr>
        <w:t>take</w:t>
      </w:r>
      <w:r w:rsidRPr="00A05DED">
        <w:rPr>
          <w:sz w:val="22"/>
          <w:szCs w:val="22"/>
        </w:rPr>
        <w:t xml:space="preserve"> the longer term view </w:t>
      </w:r>
      <w:r w:rsidR="002F1683" w:rsidRPr="00A05DED">
        <w:rPr>
          <w:sz w:val="22"/>
          <w:szCs w:val="22"/>
        </w:rPr>
        <w:t>under which</w:t>
      </w:r>
      <w:r w:rsidRPr="00A05DED">
        <w:rPr>
          <w:sz w:val="22"/>
          <w:szCs w:val="22"/>
        </w:rPr>
        <w:t xml:space="preserve"> skills inv</w:t>
      </w:r>
      <w:r w:rsidR="004F3825" w:rsidRPr="00A05DED">
        <w:rPr>
          <w:sz w:val="22"/>
          <w:szCs w:val="22"/>
        </w:rPr>
        <w:t xml:space="preserve">estments </w:t>
      </w:r>
      <w:r w:rsidR="002F1683" w:rsidRPr="00A05DED">
        <w:rPr>
          <w:sz w:val="22"/>
          <w:szCs w:val="22"/>
        </w:rPr>
        <w:t xml:space="preserve">would </w:t>
      </w:r>
      <w:r w:rsidR="004F3825" w:rsidRPr="00A05DED">
        <w:rPr>
          <w:sz w:val="22"/>
          <w:szCs w:val="22"/>
        </w:rPr>
        <w:t>pay</w:t>
      </w:r>
      <w:r w:rsidR="002F1683" w:rsidRPr="00A05DED">
        <w:rPr>
          <w:sz w:val="22"/>
          <w:szCs w:val="22"/>
        </w:rPr>
        <w:t xml:space="preserve"> </w:t>
      </w:r>
      <w:r w:rsidR="004F3825" w:rsidRPr="00A05DED">
        <w:rPr>
          <w:sz w:val="22"/>
          <w:szCs w:val="22"/>
        </w:rPr>
        <w:t>back.</w:t>
      </w:r>
    </w:p>
    <w:p w:rsidR="00D2777E" w:rsidRPr="00A05DED" w:rsidRDefault="00AF6772" w:rsidP="0048293A">
      <w:pPr>
        <w:pStyle w:val="ListParagraph"/>
        <w:numPr>
          <w:ilvl w:val="2"/>
          <w:numId w:val="15"/>
        </w:numPr>
        <w:rPr>
          <w:sz w:val="22"/>
          <w:szCs w:val="22"/>
        </w:rPr>
      </w:pPr>
      <w:r w:rsidRPr="00A05DED">
        <w:rPr>
          <w:sz w:val="22"/>
          <w:szCs w:val="22"/>
        </w:rPr>
        <w:t>F</w:t>
      </w:r>
      <w:r w:rsidR="00FF142D" w:rsidRPr="00A05DED">
        <w:rPr>
          <w:sz w:val="22"/>
          <w:szCs w:val="22"/>
        </w:rPr>
        <w:t>unding for skills policy research has increasingly become employer led</w:t>
      </w:r>
      <w:r w:rsidR="00350D70" w:rsidRPr="00A05DED">
        <w:rPr>
          <w:rStyle w:val="EndnoteReference"/>
          <w:sz w:val="22"/>
          <w:szCs w:val="22"/>
        </w:rPr>
        <w:endnoteReference w:id="3"/>
      </w:r>
      <w:r w:rsidR="00FF142D" w:rsidRPr="00A05DED">
        <w:rPr>
          <w:sz w:val="22"/>
          <w:szCs w:val="22"/>
        </w:rPr>
        <w:t xml:space="preserve"> and subject to competitive bids</w:t>
      </w:r>
      <w:r w:rsidR="00350D70" w:rsidRPr="00A05DED">
        <w:rPr>
          <w:rStyle w:val="EndnoteReference"/>
          <w:sz w:val="22"/>
          <w:szCs w:val="22"/>
        </w:rPr>
        <w:endnoteReference w:id="4"/>
      </w:r>
      <w:r w:rsidR="00E67CE4" w:rsidRPr="00A05DED">
        <w:rPr>
          <w:sz w:val="22"/>
          <w:szCs w:val="22"/>
        </w:rPr>
        <w:t>,</w:t>
      </w:r>
      <w:r w:rsidR="00FF142D" w:rsidRPr="00A05DED">
        <w:rPr>
          <w:sz w:val="22"/>
          <w:szCs w:val="22"/>
        </w:rPr>
        <w:t xml:space="preserve"> this appears to have led to an increasingly short-term horizon reflecting employer</w:t>
      </w:r>
      <w:r w:rsidRPr="00A05DED">
        <w:rPr>
          <w:sz w:val="22"/>
          <w:szCs w:val="22"/>
        </w:rPr>
        <w:t>s’</w:t>
      </w:r>
      <w:r w:rsidR="00DF35D7" w:rsidRPr="00A05DED">
        <w:rPr>
          <w:sz w:val="22"/>
          <w:szCs w:val="22"/>
        </w:rPr>
        <w:t xml:space="preserve"> immediate</w:t>
      </w:r>
      <w:r w:rsidR="00FF142D" w:rsidRPr="00A05DED">
        <w:rPr>
          <w:sz w:val="22"/>
          <w:szCs w:val="22"/>
        </w:rPr>
        <w:t xml:space="preserve"> concerns.</w:t>
      </w:r>
      <w:r w:rsidR="00132D78" w:rsidRPr="00A05DED">
        <w:rPr>
          <w:sz w:val="22"/>
          <w:szCs w:val="22"/>
        </w:rPr>
        <w:t xml:space="preserve"> Equally, </w:t>
      </w:r>
      <w:r w:rsidR="00916583" w:rsidRPr="00A05DED">
        <w:rPr>
          <w:sz w:val="22"/>
          <w:szCs w:val="22"/>
        </w:rPr>
        <w:t>it</w:t>
      </w:r>
      <w:r w:rsidR="00132D78" w:rsidRPr="00A05DED">
        <w:rPr>
          <w:sz w:val="22"/>
          <w:szCs w:val="22"/>
        </w:rPr>
        <w:t xml:space="preserve"> appears </w:t>
      </w:r>
      <w:r w:rsidR="00916583" w:rsidRPr="00A05DED">
        <w:rPr>
          <w:sz w:val="22"/>
          <w:szCs w:val="22"/>
        </w:rPr>
        <w:t xml:space="preserve">that more recent studies involve fewer participants and cover a smaller scope </w:t>
      </w:r>
      <w:r w:rsidR="00132D78" w:rsidRPr="00A05DED">
        <w:rPr>
          <w:sz w:val="22"/>
          <w:szCs w:val="22"/>
        </w:rPr>
        <w:t xml:space="preserve">with necessarily less </w:t>
      </w:r>
      <w:r w:rsidR="00E949AD" w:rsidRPr="00A05DED">
        <w:rPr>
          <w:sz w:val="22"/>
          <w:szCs w:val="22"/>
        </w:rPr>
        <w:t>emphasis</w:t>
      </w:r>
      <w:r w:rsidR="00132D78" w:rsidRPr="00A05DED">
        <w:rPr>
          <w:sz w:val="22"/>
          <w:szCs w:val="22"/>
        </w:rPr>
        <w:t xml:space="preserve"> on critical </w:t>
      </w:r>
      <w:proofErr w:type="spellStart"/>
      <w:r w:rsidR="00132D78" w:rsidRPr="00A05DED">
        <w:rPr>
          <w:sz w:val="22"/>
          <w:szCs w:val="22"/>
        </w:rPr>
        <w:t>spillovers</w:t>
      </w:r>
      <w:proofErr w:type="spellEnd"/>
      <w:r w:rsidR="00132D78" w:rsidRPr="00A05DED">
        <w:rPr>
          <w:sz w:val="22"/>
          <w:szCs w:val="22"/>
        </w:rPr>
        <w:t>.</w:t>
      </w:r>
    </w:p>
    <w:p w:rsidR="0048293A" w:rsidRPr="00A05DED" w:rsidRDefault="0048293A" w:rsidP="0048293A">
      <w:pPr>
        <w:pStyle w:val="ListParagraph"/>
        <w:numPr>
          <w:ilvl w:val="0"/>
          <w:numId w:val="14"/>
        </w:numPr>
        <w:rPr>
          <w:sz w:val="22"/>
          <w:szCs w:val="22"/>
        </w:rPr>
      </w:pPr>
      <w:r w:rsidRPr="00A05DED">
        <w:rPr>
          <w:b/>
          <w:sz w:val="22"/>
          <w:szCs w:val="22"/>
        </w:rPr>
        <w:t>Labour market structures</w:t>
      </w:r>
      <w:r w:rsidR="004F3825" w:rsidRPr="00A05DED">
        <w:rPr>
          <w:sz w:val="22"/>
          <w:szCs w:val="22"/>
        </w:rPr>
        <w:t xml:space="preserve"> – </w:t>
      </w:r>
    </w:p>
    <w:p w:rsidR="0048293A" w:rsidRPr="00A05DED" w:rsidRDefault="00132D78" w:rsidP="0048293A">
      <w:pPr>
        <w:pStyle w:val="ListParagraph"/>
        <w:numPr>
          <w:ilvl w:val="2"/>
          <w:numId w:val="15"/>
        </w:numPr>
        <w:rPr>
          <w:sz w:val="22"/>
          <w:szCs w:val="22"/>
        </w:rPr>
      </w:pPr>
      <w:r w:rsidRPr="00A05DED">
        <w:rPr>
          <w:sz w:val="22"/>
          <w:szCs w:val="22"/>
        </w:rPr>
        <w:t xml:space="preserve">The construction sector </w:t>
      </w:r>
      <w:r w:rsidR="00DE03C8" w:rsidRPr="00A05DED">
        <w:rPr>
          <w:sz w:val="22"/>
          <w:szCs w:val="22"/>
        </w:rPr>
        <w:t>operates with a large amount of sub-contracting, with about 40 per cent of the workforce operating as self-employed</w:t>
      </w:r>
      <w:r w:rsidR="004C28F3" w:rsidRPr="00A05DED">
        <w:rPr>
          <w:sz w:val="22"/>
          <w:szCs w:val="22"/>
        </w:rPr>
        <w:t xml:space="preserve">. </w:t>
      </w:r>
      <w:r w:rsidR="00582580" w:rsidRPr="00A05DED">
        <w:rPr>
          <w:sz w:val="22"/>
          <w:szCs w:val="22"/>
        </w:rPr>
        <w:t xml:space="preserve">This pattern of employment has been widely associated with </w:t>
      </w:r>
      <w:r w:rsidR="00B93FE6" w:rsidRPr="00A05DED">
        <w:rPr>
          <w:sz w:val="22"/>
          <w:szCs w:val="22"/>
        </w:rPr>
        <w:t>a deficit in training provision and linked skill shortages</w:t>
      </w:r>
      <w:r w:rsidR="004C28F3" w:rsidRPr="00A05DED">
        <w:rPr>
          <w:rStyle w:val="EndnoteReference"/>
          <w:sz w:val="22"/>
          <w:szCs w:val="22"/>
        </w:rPr>
        <w:endnoteReference w:id="5"/>
      </w:r>
      <w:r w:rsidR="004F3825" w:rsidRPr="00A05DED">
        <w:rPr>
          <w:sz w:val="22"/>
          <w:szCs w:val="22"/>
        </w:rPr>
        <w:t>.</w:t>
      </w:r>
    </w:p>
    <w:p w:rsidR="00D2777E" w:rsidRPr="00A05DED" w:rsidRDefault="0067756C" w:rsidP="0048293A">
      <w:pPr>
        <w:pStyle w:val="ListParagraph"/>
        <w:numPr>
          <w:ilvl w:val="2"/>
          <w:numId w:val="15"/>
        </w:numPr>
        <w:rPr>
          <w:sz w:val="22"/>
          <w:szCs w:val="22"/>
        </w:rPr>
      </w:pPr>
      <w:r w:rsidRPr="00A05DED">
        <w:rPr>
          <w:sz w:val="22"/>
          <w:szCs w:val="22"/>
        </w:rPr>
        <w:t>Construction sector employees often stick</w:t>
      </w:r>
      <w:r w:rsidR="00DF35D7" w:rsidRPr="00A05DED">
        <w:rPr>
          <w:sz w:val="22"/>
          <w:szCs w:val="22"/>
        </w:rPr>
        <w:t xml:space="preserve"> to single </w:t>
      </w:r>
      <w:proofErr w:type="gramStart"/>
      <w:r w:rsidR="00365A4A" w:rsidRPr="00A05DED">
        <w:rPr>
          <w:sz w:val="22"/>
          <w:szCs w:val="22"/>
        </w:rPr>
        <w:t>trades</w:t>
      </w:r>
      <w:r w:rsidR="00AF6772" w:rsidRPr="00A05DED">
        <w:rPr>
          <w:sz w:val="22"/>
          <w:szCs w:val="22"/>
        </w:rPr>
        <w:t>,</w:t>
      </w:r>
      <w:r w:rsidR="00365A4A" w:rsidRPr="00A05DED">
        <w:rPr>
          <w:sz w:val="22"/>
          <w:szCs w:val="22"/>
        </w:rPr>
        <w:t xml:space="preserve"> </w:t>
      </w:r>
      <w:r w:rsidR="00AD33AC" w:rsidRPr="00A05DED">
        <w:rPr>
          <w:sz w:val="22"/>
          <w:szCs w:val="22"/>
        </w:rPr>
        <w:t xml:space="preserve">which </w:t>
      </w:r>
      <w:r w:rsidR="00365A4A" w:rsidRPr="00A05DED">
        <w:rPr>
          <w:sz w:val="22"/>
          <w:szCs w:val="22"/>
        </w:rPr>
        <w:t>in turn mean</w:t>
      </w:r>
      <w:r w:rsidR="00AF6772" w:rsidRPr="00A05DED">
        <w:rPr>
          <w:sz w:val="22"/>
          <w:szCs w:val="22"/>
        </w:rPr>
        <w:t>s</w:t>
      </w:r>
      <w:proofErr w:type="gramEnd"/>
      <w:r w:rsidR="00DF35D7" w:rsidRPr="00A05DED">
        <w:rPr>
          <w:sz w:val="22"/>
          <w:szCs w:val="22"/>
        </w:rPr>
        <w:t xml:space="preserve"> that there is little cross training and often little awareness of how </w:t>
      </w:r>
      <w:r w:rsidR="002462F4" w:rsidRPr="00A05DED">
        <w:rPr>
          <w:sz w:val="22"/>
          <w:szCs w:val="22"/>
        </w:rPr>
        <w:t>one trade interacts with others or with whole house issues such as thermal bridging.</w:t>
      </w:r>
    </w:p>
    <w:p w:rsidR="0048293A" w:rsidRPr="00A05DED" w:rsidRDefault="0048293A" w:rsidP="0048293A">
      <w:pPr>
        <w:pStyle w:val="ListParagraph"/>
        <w:numPr>
          <w:ilvl w:val="0"/>
          <w:numId w:val="14"/>
        </w:numPr>
        <w:rPr>
          <w:sz w:val="22"/>
          <w:szCs w:val="22"/>
        </w:rPr>
      </w:pPr>
      <w:r w:rsidRPr="00A05DED">
        <w:rPr>
          <w:b/>
          <w:sz w:val="22"/>
          <w:szCs w:val="22"/>
        </w:rPr>
        <w:t>Appropriability of skilled employees</w:t>
      </w:r>
      <w:r w:rsidR="004F3825" w:rsidRPr="00A05DED">
        <w:rPr>
          <w:sz w:val="22"/>
          <w:szCs w:val="22"/>
        </w:rPr>
        <w:t xml:space="preserve"> –</w:t>
      </w:r>
    </w:p>
    <w:p w:rsidR="0048293A" w:rsidRPr="00A05DED" w:rsidRDefault="00D2777E" w:rsidP="0048293A">
      <w:pPr>
        <w:pStyle w:val="ListParagraph"/>
        <w:numPr>
          <w:ilvl w:val="2"/>
          <w:numId w:val="15"/>
        </w:numPr>
        <w:rPr>
          <w:sz w:val="22"/>
          <w:szCs w:val="22"/>
        </w:rPr>
      </w:pPr>
      <w:r w:rsidRPr="00A05DED">
        <w:rPr>
          <w:sz w:val="22"/>
          <w:szCs w:val="22"/>
        </w:rPr>
        <w:t>Traditionally</w:t>
      </w:r>
      <w:r w:rsidR="00E67CE4" w:rsidRPr="00A05DED">
        <w:rPr>
          <w:sz w:val="22"/>
          <w:szCs w:val="22"/>
        </w:rPr>
        <w:t>,</w:t>
      </w:r>
      <w:r w:rsidRPr="00A05DED">
        <w:rPr>
          <w:sz w:val="22"/>
          <w:szCs w:val="22"/>
        </w:rPr>
        <w:t xml:space="preserve"> insulation product manufacturers have used product specific training </w:t>
      </w:r>
      <w:r w:rsidR="00723D76" w:rsidRPr="00A05DED">
        <w:rPr>
          <w:sz w:val="22"/>
          <w:szCs w:val="22"/>
        </w:rPr>
        <w:t xml:space="preserve">of workers </w:t>
      </w:r>
      <w:r w:rsidRPr="00A05DED">
        <w:rPr>
          <w:sz w:val="22"/>
          <w:szCs w:val="22"/>
        </w:rPr>
        <w:t>to ensure that</w:t>
      </w:r>
      <w:r w:rsidR="00AF6772" w:rsidRPr="00A05DED">
        <w:rPr>
          <w:sz w:val="22"/>
          <w:szCs w:val="22"/>
        </w:rPr>
        <w:t xml:space="preserve"> their</w:t>
      </w:r>
      <w:r w:rsidRPr="00A05DED">
        <w:rPr>
          <w:sz w:val="22"/>
          <w:szCs w:val="22"/>
        </w:rPr>
        <w:t xml:space="preserve"> </w:t>
      </w:r>
      <w:r w:rsidR="00723D76" w:rsidRPr="00A05DED">
        <w:rPr>
          <w:sz w:val="22"/>
          <w:szCs w:val="22"/>
        </w:rPr>
        <w:t xml:space="preserve">products </w:t>
      </w:r>
      <w:r w:rsidRPr="00A05DED">
        <w:rPr>
          <w:sz w:val="22"/>
          <w:szCs w:val="22"/>
        </w:rPr>
        <w:t xml:space="preserve">are installed and used correctly. These product specific </w:t>
      </w:r>
      <w:r w:rsidR="004B25FF" w:rsidRPr="00A05DED">
        <w:rPr>
          <w:sz w:val="22"/>
          <w:szCs w:val="22"/>
        </w:rPr>
        <w:t>qualifications</w:t>
      </w:r>
      <w:r w:rsidRPr="00A05DED">
        <w:rPr>
          <w:sz w:val="22"/>
          <w:szCs w:val="22"/>
        </w:rPr>
        <w:t xml:space="preserve"> have also been linked to wa</w:t>
      </w:r>
      <w:r w:rsidR="00E01811" w:rsidRPr="00A05DED">
        <w:rPr>
          <w:sz w:val="22"/>
          <w:szCs w:val="22"/>
        </w:rPr>
        <w:t>rranty schemes run by BBA (Brit</w:t>
      </w:r>
      <w:r w:rsidRPr="00A05DED">
        <w:rPr>
          <w:sz w:val="22"/>
          <w:szCs w:val="22"/>
        </w:rPr>
        <w:t xml:space="preserve">ish Board of </w:t>
      </w:r>
      <w:proofErr w:type="spellStart"/>
      <w:r w:rsidRPr="00A05DED">
        <w:rPr>
          <w:sz w:val="22"/>
          <w:szCs w:val="22"/>
        </w:rPr>
        <w:t>Agrément</w:t>
      </w:r>
      <w:proofErr w:type="spellEnd"/>
      <w:r w:rsidRPr="00A05DED">
        <w:rPr>
          <w:sz w:val="22"/>
          <w:szCs w:val="22"/>
        </w:rPr>
        <w:t>) and CIGA (Cavity Insulation Guarantee Agency</w:t>
      </w:r>
      <w:r w:rsidR="00E67CE4" w:rsidRPr="00A05DED">
        <w:rPr>
          <w:sz w:val="22"/>
          <w:szCs w:val="22"/>
        </w:rPr>
        <w:t>).</w:t>
      </w:r>
      <w:r w:rsidRPr="00A05DED">
        <w:rPr>
          <w:sz w:val="22"/>
          <w:szCs w:val="22"/>
        </w:rPr>
        <w:t xml:space="preserve"> </w:t>
      </w:r>
      <w:r w:rsidR="002462F4" w:rsidRPr="00A05DED">
        <w:rPr>
          <w:sz w:val="22"/>
          <w:szCs w:val="22"/>
        </w:rPr>
        <w:t>However, t</w:t>
      </w:r>
      <w:r w:rsidRPr="00A05DED">
        <w:rPr>
          <w:sz w:val="22"/>
          <w:szCs w:val="22"/>
        </w:rPr>
        <w:t>he Green Deal</w:t>
      </w:r>
      <w:r w:rsidR="002462F4" w:rsidRPr="00A05DED">
        <w:rPr>
          <w:sz w:val="22"/>
          <w:szCs w:val="22"/>
        </w:rPr>
        <w:t xml:space="preserve"> requires that installers are qualified using qu</w:t>
      </w:r>
      <w:r w:rsidR="00723D76" w:rsidRPr="00A05DED">
        <w:rPr>
          <w:sz w:val="22"/>
          <w:szCs w:val="22"/>
        </w:rPr>
        <w:t>alifications based on National O</w:t>
      </w:r>
      <w:r w:rsidR="002462F4" w:rsidRPr="00A05DED">
        <w:rPr>
          <w:sz w:val="22"/>
          <w:szCs w:val="22"/>
        </w:rPr>
        <w:t>ccupational Standards (NOS)</w:t>
      </w:r>
      <w:r w:rsidRPr="00A05DED">
        <w:rPr>
          <w:sz w:val="22"/>
          <w:szCs w:val="22"/>
        </w:rPr>
        <w:t xml:space="preserve"> </w:t>
      </w:r>
      <w:r w:rsidR="002462F4" w:rsidRPr="00A05DED">
        <w:rPr>
          <w:sz w:val="22"/>
          <w:szCs w:val="22"/>
        </w:rPr>
        <w:t>and based on the specification provided by the British Standards Institutes PAS2030</w:t>
      </w:r>
      <w:r w:rsidR="002462F4" w:rsidRPr="00A05DED">
        <w:rPr>
          <w:rStyle w:val="EndnoteReference"/>
          <w:sz w:val="22"/>
          <w:szCs w:val="22"/>
        </w:rPr>
        <w:endnoteReference w:id="6"/>
      </w:r>
      <w:r w:rsidR="00C51E70" w:rsidRPr="00A05DED">
        <w:rPr>
          <w:sz w:val="22"/>
          <w:szCs w:val="22"/>
        </w:rPr>
        <w:t>. The transition from company specific qualifications to transferable qualifications has required the rapid development of new NOS, new qualifications and putting into place training for trainers and wider training provision</w:t>
      </w:r>
      <w:r w:rsidR="00723D76" w:rsidRPr="00A05DED">
        <w:rPr>
          <w:sz w:val="22"/>
          <w:szCs w:val="22"/>
        </w:rPr>
        <w:t>, which may be challenging for some manufacturers and installers.</w:t>
      </w:r>
    </w:p>
    <w:p w:rsidR="00A05DED" w:rsidRPr="00A05DED" w:rsidRDefault="002908BB" w:rsidP="0048293A">
      <w:pPr>
        <w:pStyle w:val="ListParagraph"/>
        <w:numPr>
          <w:ilvl w:val="0"/>
          <w:numId w:val="14"/>
        </w:numPr>
        <w:rPr>
          <w:sz w:val="22"/>
          <w:szCs w:val="22"/>
        </w:rPr>
      </w:pPr>
      <w:r w:rsidRPr="00A05DED">
        <w:rPr>
          <w:sz w:val="22"/>
          <w:szCs w:val="22"/>
        </w:rPr>
        <w:t xml:space="preserve">Both the CERT Scheme and the Green Deal have explicit attempts to take </w:t>
      </w:r>
      <w:r w:rsidR="002B2D8A" w:rsidRPr="00A05DED">
        <w:rPr>
          <w:sz w:val="22"/>
          <w:szCs w:val="22"/>
        </w:rPr>
        <w:t xml:space="preserve">into account </w:t>
      </w:r>
      <w:r w:rsidRPr="00A05DED">
        <w:rPr>
          <w:sz w:val="22"/>
          <w:szCs w:val="22"/>
        </w:rPr>
        <w:t>performance gap issues where the actual energy savings achieved are less than those predicted by the physical models. In part</w:t>
      </w:r>
      <w:r w:rsidR="005D218F" w:rsidRPr="00A05DED">
        <w:rPr>
          <w:sz w:val="22"/>
          <w:szCs w:val="22"/>
        </w:rPr>
        <w:t>,</w:t>
      </w:r>
      <w:r w:rsidRPr="00A05DED">
        <w:rPr>
          <w:sz w:val="22"/>
          <w:szCs w:val="22"/>
        </w:rPr>
        <w:t xml:space="preserve"> these performance gaps can be explained by factors such as comfort taking </w:t>
      </w:r>
      <w:r w:rsidR="002B2D8A" w:rsidRPr="00A05DED">
        <w:rPr>
          <w:sz w:val="22"/>
          <w:szCs w:val="22"/>
        </w:rPr>
        <w:t>and settling of insulation over</w:t>
      </w:r>
      <w:r w:rsidR="00E67CE4" w:rsidRPr="00A05DED">
        <w:rPr>
          <w:sz w:val="22"/>
          <w:szCs w:val="22"/>
        </w:rPr>
        <w:t xml:space="preserve"> </w:t>
      </w:r>
      <w:r w:rsidR="002B2D8A" w:rsidRPr="00A05DED">
        <w:rPr>
          <w:sz w:val="22"/>
          <w:szCs w:val="22"/>
        </w:rPr>
        <w:t xml:space="preserve">time. However, there is significant variation in the </w:t>
      </w:r>
      <w:r w:rsidR="005D218F" w:rsidRPr="00A05DED">
        <w:rPr>
          <w:sz w:val="22"/>
          <w:szCs w:val="22"/>
        </w:rPr>
        <w:t>in situ</w:t>
      </w:r>
      <w:r w:rsidR="002B2D8A" w:rsidRPr="00A05DED">
        <w:rPr>
          <w:sz w:val="22"/>
          <w:szCs w:val="22"/>
        </w:rPr>
        <w:t xml:space="preserve"> performance gaps by technology and it is suggested that skills are an important element underlying these differences</w:t>
      </w:r>
      <w:r w:rsidR="002B2D8A" w:rsidRPr="00A05DED">
        <w:rPr>
          <w:rStyle w:val="EndnoteReference"/>
          <w:sz w:val="22"/>
          <w:szCs w:val="22"/>
        </w:rPr>
        <w:endnoteReference w:id="7"/>
      </w:r>
      <w:r w:rsidR="002B2D8A" w:rsidRPr="00A05DED">
        <w:rPr>
          <w:sz w:val="22"/>
          <w:szCs w:val="22"/>
        </w:rPr>
        <w:t>.</w:t>
      </w:r>
      <w:r w:rsidR="004C74F7" w:rsidRPr="00A05DED">
        <w:rPr>
          <w:sz w:val="22"/>
          <w:szCs w:val="22"/>
        </w:rPr>
        <w:t xml:space="preserve"> </w:t>
      </w:r>
    </w:p>
    <w:p w:rsidR="0048293A" w:rsidRPr="00A05DED" w:rsidRDefault="0048293A" w:rsidP="0048293A">
      <w:pPr>
        <w:pStyle w:val="ListParagraph"/>
        <w:numPr>
          <w:ilvl w:val="0"/>
          <w:numId w:val="14"/>
        </w:numPr>
        <w:rPr>
          <w:sz w:val="22"/>
          <w:szCs w:val="22"/>
        </w:rPr>
      </w:pPr>
      <w:r w:rsidRPr="00A05DED">
        <w:rPr>
          <w:b/>
          <w:sz w:val="22"/>
          <w:szCs w:val="22"/>
        </w:rPr>
        <w:t xml:space="preserve">Negative </w:t>
      </w:r>
      <w:proofErr w:type="spellStart"/>
      <w:r w:rsidRPr="00A05DED">
        <w:rPr>
          <w:b/>
          <w:sz w:val="22"/>
          <w:szCs w:val="22"/>
        </w:rPr>
        <w:t>spillovers</w:t>
      </w:r>
      <w:proofErr w:type="spellEnd"/>
      <w:r w:rsidR="004F3825" w:rsidRPr="00A05DED">
        <w:rPr>
          <w:sz w:val="22"/>
          <w:szCs w:val="22"/>
        </w:rPr>
        <w:t xml:space="preserve"> –</w:t>
      </w:r>
    </w:p>
    <w:p w:rsidR="0048293A" w:rsidRPr="00A05DED" w:rsidRDefault="00741797" w:rsidP="0048293A">
      <w:pPr>
        <w:pStyle w:val="ListParagraph"/>
        <w:numPr>
          <w:ilvl w:val="2"/>
          <w:numId w:val="15"/>
        </w:numPr>
        <w:rPr>
          <w:sz w:val="22"/>
          <w:szCs w:val="22"/>
        </w:rPr>
      </w:pPr>
      <w:r w:rsidRPr="00A05DED">
        <w:rPr>
          <w:sz w:val="22"/>
          <w:szCs w:val="22"/>
        </w:rPr>
        <w:t>Skills from the North Sea oil and gas industry are in demand by the offshore wind industry</w:t>
      </w:r>
      <w:r w:rsidR="00350D70" w:rsidRPr="00A05DED">
        <w:rPr>
          <w:rStyle w:val="EndnoteReference"/>
          <w:sz w:val="22"/>
          <w:szCs w:val="22"/>
        </w:rPr>
        <w:endnoteReference w:id="8"/>
      </w:r>
      <w:r w:rsidRPr="00A05DED">
        <w:rPr>
          <w:sz w:val="22"/>
          <w:szCs w:val="22"/>
        </w:rPr>
        <w:t>, but the expected downturn in oil and gas employment</w:t>
      </w:r>
      <w:r w:rsidR="00A52C4F" w:rsidRPr="00A05DED">
        <w:rPr>
          <w:sz w:val="22"/>
          <w:szCs w:val="22"/>
        </w:rPr>
        <w:t>, which was expected to free up workers,</w:t>
      </w:r>
      <w:r w:rsidRPr="00A05DED">
        <w:rPr>
          <w:sz w:val="22"/>
          <w:szCs w:val="22"/>
        </w:rPr>
        <w:t xml:space="preserve"> has not emerged due to increased activity due to high oil and gas prices</w:t>
      </w:r>
      <w:r w:rsidR="004F3825" w:rsidRPr="00A05DED">
        <w:rPr>
          <w:sz w:val="22"/>
          <w:szCs w:val="22"/>
        </w:rPr>
        <w:t>.</w:t>
      </w:r>
    </w:p>
    <w:p w:rsidR="00D2777E" w:rsidRPr="00A05DED" w:rsidRDefault="00741797" w:rsidP="0048293A">
      <w:pPr>
        <w:pStyle w:val="ListParagraph"/>
        <w:numPr>
          <w:ilvl w:val="2"/>
          <w:numId w:val="15"/>
        </w:numPr>
        <w:rPr>
          <w:b/>
          <w:sz w:val="22"/>
          <w:szCs w:val="22"/>
        </w:rPr>
      </w:pPr>
      <w:r w:rsidRPr="00A05DED">
        <w:rPr>
          <w:sz w:val="22"/>
          <w:szCs w:val="22"/>
        </w:rPr>
        <w:lastRenderedPageBreak/>
        <w:t xml:space="preserve">Another possible negative </w:t>
      </w:r>
      <w:proofErr w:type="spellStart"/>
      <w:r w:rsidRPr="00A05DED">
        <w:rPr>
          <w:sz w:val="22"/>
          <w:szCs w:val="22"/>
        </w:rPr>
        <w:t>spillover</w:t>
      </w:r>
      <w:proofErr w:type="spellEnd"/>
      <w:r w:rsidR="00205A45" w:rsidRPr="00A05DED">
        <w:rPr>
          <w:sz w:val="22"/>
          <w:szCs w:val="22"/>
        </w:rPr>
        <w:t xml:space="preserve"> is with high voltage electricians </w:t>
      </w:r>
      <w:r w:rsidR="0080480A" w:rsidRPr="00A05DED">
        <w:rPr>
          <w:sz w:val="22"/>
          <w:szCs w:val="22"/>
        </w:rPr>
        <w:t>between</w:t>
      </w:r>
      <w:r w:rsidR="00205A45" w:rsidRPr="00A05DED">
        <w:rPr>
          <w:sz w:val="22"/>
          <w:szCs w:val="22"/>
        </w:rPr>
        <w:t xml:space="preserve"> those reinforcing the national grid and those electrifying rail lines</w:t>
      </w:r>
      <w:r w:rsidR="0080480A" w:rsidRPr="00A05DED">
        <w:rPr>
          <w:sz w:val="22"/>
          <w:szCs w:val="22"/>
        </w:rPr>
        <w:t>,</w:t>
      </w:r>
      <w:r w:rsidR="00205A45" w:rsidRPr="00A05DED">
        <w:rPr>
          <w:sz w:val="22"/>
          <w:szCs w:val="22"/>
        </w:rPr>
        <w:t xml:space="preserve"> especially</w:t>
      </w:r>
      <w:r w:rsidR="0080480A" w:rsidRPr="00A05DED">
        <w:rPr>
          <w:sz w:val="22"/>
          <w:szCs w:val="22"/>
        </w:rPr>
        <w:t xml:space="preserve"> the proposed electrification of the</w:t>
      </w:r>
      <w:r w:rsidR="00205A45" w:rsidRPr="00A05DED">
        <w:rPr>
          <w:sz w:val="22"/>
          <w:szCs w:val="22"/>
        </w:rPr>
        <w:t xml:space="preserve"> west</w:t>
      </w:r>
      <w:r w:rsidR="005C16AC" w:rsidRPr="00A05DED">
        <w:rPr>
          <w:sz w:val="22"/>
          <w:szCs w:val="22"/>
        </w:rPr>
        <w:t>-</w:t>
      </w:r>
      <w:r w:rsidR="00205A45" w:rsidRPr="00A05DED">
        <w:rPr>
          <w:sz w:val="22"/>
          <w:szCs w:val="22"/>
        </w:rPr>
        <w:t>country mainline</w:t>
      </w:r>
      <w:r w:rsidR="00205A45" w:rsidRPr="00A05DED">
        <w:rPr>
          <w:b/>
          <w:sz w:val="22"/>
          <w:szCs w:val="22"/>
        </w:rPr>
        <w:t>.</w:t>
      </w:r>
    </w:p>
    <w:p w:rsidR="0048293A" w:rsidRPr="00A05DED" w:rsidRDefault="0048293A" w:rsidP="00D2777E">
      <w:pPr>
        <w:pStyle w:val="ListParagraph"/>
        <w:numPr>
          <w:ilvl w:val="0"/>
          <w:numId w:val="14"/>
        </w:numPr>
        <w:rPr>
          <w:b/>
          <w:sz w:val="22"/>
          <w:szCs w:val="22"/>
        </w:rPr>
      </w:pPr>
      <w:r w:rsidRPr="00A05DED">
        <w:rPr>
          <w:b/>
          <w:sz w:val="22"/>
          <w:szCs w:val="22"/>
        </w:rPr>
        <w:t>Uncertainty</w:t>
      </w:r>
      <w:r w:rsidR="004F3825" w:rsidRPr="00A05DED">
        <w:rPr>
          <w:b/>
          <w:sz w:val="22"/>
          <w:szCs w:val="22"/>
        </w:rPr>
        <w:t xml:space="preserve"> –</w:t>
      </w:r>
    </w:p>
    <w:p w:rsidR="0048293A" w:rsidRPr="00A05DED" w:rsidRDefault="000D25C6" w:rsidP="00D2777E">
      <w:pPr>
        <w:pStyle w:val="ListParagraph"/>
        <w:numPr>
          <w:ilvl w:val="2"/>
          <w:numId w:val="15"/>
        </w:numPr>
        <w:rPr>
          <w:sz w:val="22"/>
          <w:szCs w:val="22"/>
        </w:rPr>
      </w:pPr>
      <w:r w:rsidRPr="00A05DED">
        <w:rPr>
          <w:b/>
          <w:sz w:val="22"/>
          <w:szCs w:val="22"/>
        </w:rPr>
        <w:t>Unc</w:t>
      </w:r>
      <w:r w:rsidRPr="00A05DED">
        <w:rPr>
          <w:sz w:val="22"/>
          <w:szCs w:val="22"/>
        </w:rPr>
        <w:t xml:space="preserve">ertainty over policy has been cited as a reason for delaying many low carbon investments and this uncertainty will </w:t>
      </w:r>
      <w:r w:rsidR="003B2FCB" w:rsidRPr="00A05DED">
        <w:rPr>
          <w:sz w:val="22"/>
          <w:szCs w:val="22"/>
        </w:rPr>
        <w:t>also affect</w:t>
      </w:r>
      <w:r w:rsidRPr="00A05DED">
        <w:rPr>
          <w:sz w:val="22"/>
          <w:szCs w:val="22"/>
        </w:rPr>
        <w:t xml:space="preserve"> training decisions. </w:t>
      </w:r>
      <w:r w:rsidR="003B2FCB" w:rsidRPr="00A05DED">
        <w:rPr>
          <w:sz w:val="22"/>
          <w:szCs w:val="22"/>
        </w:rPr>
        <w:t>Due to</w:t>
      </w:r>
      <w:r w:rsidRPr="00A05DED">
        <w:rPr>
          <w:sz w:val="22"/>
          <w:szCs w:val="22"/>
        </w:rPr>
        <w:t xml:space="preserve"> the current </w:t>
      </w:r>
      <w:r w:rsidR="003B2FCB" w:rsidRPr="00A05DED">
        <w:rPr>
          <w:sz w:val="22"/>
          <w:szCs w:val="22"/>
        </w:rPr>
        <w:t xml:space="preserve">weak economic </w:t>
      </w:r>
      <w:r w:rsidRPr="00A05DED">
        <w:rPr>
          <w:sz w:val="22"/>
          <w:szCs w:val="22"/>
        </w:rPr>
        <w:t>climate</w:t>
      </w:r>
      <w:r w:rsidR="00F413FB" w:rsidRPr="00A05DED">
        <w:rPr>
          <w:sz w:val="22"/>
          <w:szCs w:val="22"/>
        </w:rPr>
        <w:t xml:space="preserve"> and downturn in construction activity</w:t>
      </w:r>
      <w:r w:rsidR="00E67CE4" w:rsidRPr="00A05DED">
        <w:rPr>
          <w:sz w:val="22"/>
          <w:szCs w:val="22"/>
        </w:rPr>
        <w:t>,</w:t>
      </w:r>
      <w:r w:rsidRPr="00A05DED">
        <w:rPr>
          <w:sz w:val="22"/>
          <w:szCs w:val="22"/>
        </w:rPr>
        <w:t xml:space="preserve"> </w:t>
      </w:r>
      <w:r w:rsidR="006D41EE" w:rsidRPr="00A05DED">
        <w:rPr>
          <w:sz w:val="22"/>
          <w:szCs w:val="22"/>
        </w:rPr>
        <w:t xml:space="preserve">the </w:t>
      </w:r>
      <w:r w:rsidR="009A0D68" w:rsidRPr="00A05DED">
        <w:rPr>
          <w:sz w:val="22"/>
          <w:szCs w:val="22"/>
        </w:rPr>
        <w:t>photo</w:t>
      </w:r>
      <w:r w:rsidR="003B2FCB" w:rsidRPr="00A05DED">
        <w:rPr>
          <w:sz w:val="22"/>
          <w:szCs w:val="22"/>
        </w:rPr>
        <w:t xml:space="preserve">voltaic panel installation </w:t>
      </w:r>
      <w:r w:rsidR="006D41EE" w:rsidRPr="00A05DED">
        <w:rPr>
          <w:sz w:val="22"/>
          <w:szCs w:val="22"/>
        </w:rPr>
        <w:t>industry was able to use the Microgeneration Certification Scheme (MCS) structures to</w:t>
      </w:r>
      <w:r w:rsidR="003B2FCB" w:rsidRPr="00A05DED">
        <w:rPr>
          <w:sz w:val="22"/>
          <w:szCs w:val="22"/>
        </w:rPr>
        <w:t xml:space="preserve"> ensure skilled installers were in place to</w:t>
      </w:r>
      <w:r w:rsidR="006D41EE" w:rsidRPr="00A05DED">
        <w:rPr>
          <w:sz w:val="22"/>
          <w:szCs w:val="22"/>
        </w:rPr>
        <w:t xml:space="preserve"> deliver massive peaks in demand for installations</w:t>
      </w:r>
      <w:r w:rsidR="005C16AC" w:rsidRPr="00A05DED">
        <w:rPr>
          <w:sz w:val="22"/>
          <w:szCs w:val="22"/>
        </w:rPr>
        <w:t>.</w:t>
      </w:r>
      <w:r w:rsidR="00A37B01" w:rsidRPr="00A05DED">
        <w:rPr>
          <w:sz w:val="22"/>
          <w:szCs w:val="22"/>
        </w:rPr>
        <w:t xml:space="preserve"> However, the industry is unlikely to be able to draw upon the </w:t>
      </w:r>
      <w:r w:rsidR="00E67CE4" w:rsidRPr="00A05DED">
        <w:rPr>
          <w:sz w:val="22"/>
          <w:szCs w:val="22"/>
        </w:rPr>
        <w:t xml:space="preserve">same </w:t>
      </w:r>
      <w:r w:rsidR="00A37B01" w:rsidRPr="00A05DED">
        <w:rPr>
          <w:sz w:val="22"/>
          <w:szCs w:val="22"/>
        </w:rPr>
        <w:t>amount of spare capacity once the construction sector comes out of recession</w:t>
      </w:r>
      <w:r w:rsidR="004F3825" w:rsidRPr="00A05DED">
        <w:rPr>
          <w:sz w:val="22"/>
          <w:szCs w:val="22"/>
        </w:rPr>
        <w:t>.</w:t>
      </w:r>
    </w:p>
    <w:p w:rsidR="00D2777E" w:rsidRPr="00A05DED" w:rsidRDefault="002A29F2" w:rsidP="00D2777E">
      <w:pPr>
        <w:pStyle w:val="ListParagraph"/>
        <w:numPr>
          <w:ilvl w:val="2"/>
          <w:numId w:val="15"/>
        </w:numPr>
        <w:rPr>
          <w:sz w:val="22"/>
          <w:szCs w:val="22"/>
        </w:rPr>
      </w:pPr>
      <w:r w:rsidRPr="00A05DED">
        <w:rPr>
          <w:sz w:val="22"/>
          <w:szCs w:val="22"/>
        </w:rPr>
        <w:t xml:space="preserve">Currently, there is debate </w:t>
      </w:r>
      <w:r w:rsidR="00150942" w:rsidRPr="00A05DED">
        <w:rPr>
          <w:sz w:val="22"/>
          <w:szCs w:val="22"/>
        </w:rPr>
        <w:t>over a decarbonisation target for the UK electricity supply system</w:t>
      </w:r>
      <w:r w:rsidR="0021531A" w:rsidRPr="00A05DED">
        <w:rPr>
          <w:sz w:val="22"/>
          <w:szCs w:val="22"/>
        </w:rPr>
        <w:t>. This</w:t>
      </w:r>
      <w:r w:rsidR="00150942" w:rsidRPr="00A05DED">
        <w:rPr>
          <w:sz w:val="22"/>
          <w:szCs w:val="22"/>
        </w:rPr>
        <w:t xml:space="preserve"> has seen an unprecedented joint letter to the UK Government from</w:t>
      </w:r>
      <w:r w:rsidR="0021531A" w:rsidRPr="00A05DED">
        <w:rPr>
          <w:sz w:val="22"/>
          <w:szCs w:val="22"/>
        </w:rPr>
        <w:t xml:space="preserve"> the Carbon Capture and Storage Association, the Nuclear Industry Association and</w:t>
      </w:r>
      <w:r w:rsidR="00150942" w:rsidRPr="00A05DED">
        <w:rPr>
          <w:sz w:val="22"/>
          <w:szCs w:val="22"/>
        </w:rPr>
        <w:t xml:space="preserve"> Renewables </w:t>
      </w:r>
      <w:r w:rsidR="0021531A" w:rsidRPr="00A05DED">
        <w:rPr>
          <w:sz w:val="22"/>
          <w:szCs w:val="22"/>
        </w:rPr>
        <w:t>UK warning that the absence of such a target is putting at risk massive levels of infrastructure investment</w:t>
      </w:r>
      <w:r w:rsidR="0021531A" w:rsidRPr="00A05DED">
        <w:rPr>
          <w:rStyle w:val="EndnoteReference"/>
          <w:sz w:val="22"/>
          <w:szCs w:val="22"/>
        </w:rPr>
        <w:endnoteReference w:id="9"/>
      </w:r>
      <w:r w:rsidR="0021531A" w:rsidRPr="00A05DED">
        <w:rPr>
          <w:sz w:val="22"/>
          <w:szCs w:val="22"/>
        </w:rPr>
        <w:t>.</w:t>
      </w:r>
    </w:p>
    <w:p w:rsidR="0048293A" w:rsidRPr="00A05DED" w:rsidRDefault="00D2777E" w:rsidP="00D2777E">
      <w:pPr>
        <w:pStyle w:val="ListParagraph"/>
        <w:numPr>
          <w:ilvl w:val="0"/>
          <w:numId w:val="14"/>
        </w:numPr>
        <w:rPr>
          <w:sz w:val="22"/>
          <w:szCs w:val="22"/>
        </w:rPr>
      </w:pPr>
      <w:r w:rsidRPr="00A05DED">
        <w:rPr>
          <w:b/>
          <w:sz w:val="22"/>
          <w:szCs w:val="22"/>
        </w:rPr>
        <w:t>Technology novelty</w:t>
      </w:r>
      <w:r w:rsidR="004F3825" w:rsidRPr="00A05DED">
        <w:rPr>
          <w:sz w:val="22"/>
          <w:szCs w:val="22"/>
        </w:rPr>
        <w:t xml:space="preserve"> –</w:t>
      </w:r>
    </w:p>
    <w:p w:rsidR="00D2777E" w:rsidRPr="00A05DED" w:rsidRDefault="00866458" w:rsidP="00D2777E">
      <w:pPr>
        <w:pStyle w:val="ListParagraph"/>
        <w:numPr>
          <w:ilvl w:val="2"/>
          <w:numId w:val="15"/>
        </w:numPr>
        <w:rPr>
          <w:sz w:val="22"/>
          <w:szCs w:val="22"/>
        </w:rPr>
      </w:pPr>
      <w:r w:rsidRPr="00A05DED">
        <w:rPr>
          <w:sz w:val="22"/>
          <w:szCs w:val="22"/>
        </w:rPr>
        <w:t xml:space="preserve">The Renewable Heat Incentive will support the installation of heat-pumps and biomass heat, amongst other technologies. However, there has been limited recent experience with these technologies in the UK </w:t>
      </w:r>
      <w:r w:rsidR="004E678A" w:rsidRPr="00A05DED">
        <w:rPr>
          <w:sz w:val="22"/>
          <w:szCs w:val="22"/>
        </w:rPr>
        <w:t>and this could lead to inappropriate installations and other problems</w:t>
      </w:r>
      <w:r w:rsidR="004F3825" w:rsidRPr="00A05DED">
        <w:rPr>
          <w:sz w:val="22"/>
          <w:szCs w:val="22"/>
        </w:rPr>
        <w:t>.</w:t>
      </w:r>
    </w:p>
    <w:p w:rsidR="004F1463" w:rsidRPr="00A05DED" w:rsidRDefault="004D45A8" w:rsidP="00D2777E">
      <w:pPr>
        <w:pStyle w:val="ListParagraph"/>
        <w:numPr>
          <w:ilvl w:val="2"/>
          <w:numId w:val="15"/>
        </w:numPr>
        <w:rPr>
          <w:sz w:val="22"/>
          <w:szCs w:val="22"/>
        </w:rPr>
      </w:pPr>
      <w:r w:rsidRPr="00A05DED">
        <w:rPr>
          <w:sz w:val="22"/>
          <w:szCs w:val="22"/>
        </w:rPr>
        <w:t xml:space="preserve">Recently the Health and Safety Executive has issued </w:t>
      </w:r>
      <w:r w:rsidR="00FA26CA" w:rsidRPr="00A05DED">
        <w:rPr>
          <w:sz w:val="22"/>
          <w:szCs w:val="22"/>
        </w:rPr>
        <w:t>a safety notice warning about the depletion of oxygen and carbon monoxide build</w:t>
      </w:r>
      <w:r w:rsidR="00231C01" w:rsidRPr="00A05DED">
        <w:rPr>
          <w:sz w:val="22"/>
          <w:szCs w:val="22"/>
        </w:rPr>
        <w:t>-</w:t>
      </w:r>
      <w:r w:rsidR="00FA26CA" w:rsidRPr="00A05DED">
        <w:rPr>
          <w:sz w:val="22"/>
          <w:szCs w:val="22"/>
        </w:rPr>
        <w:t>up when wood pellets are stored and transported</w:t>
      </w:r>
      <w:r w:rsidRPr="00A05DED">
        <w:rPr>
          <w:rStyle w:val="EndnoteReference"/>
          <w:sz w:val="22"/>
          <w:szCs w:val="22"/>
        </w:rPr>
        <w:endnoteReference w:id="10"/>
      </w:r>
      <w:r w:rsidR="00FA26CA" w:rsidRPr="00A05DED">
        <w:rPr>
          <w:sz w:val="22"/>
          <w:szCs w:val="22"/>
        </w:rPr>
        <w:t>.</w:t>
      </w:r>
      <w:r w:rsidR="00231C01" w:rsidRPr="00A05DED">
        <w:rPr>
          <w:sz w:val="22"/>
          <w:szCs w:val="22"/>
        </w:rPr>
        <w:t xml:space="preserve"> The Renewable Heat Incentive will see an increase in the use of wood pellets as a heat source and this will in effect make this a new technology for many of the installers and open them and users to risks.</w:t>
      </w:r>
    </w:p>
    <w:p w:rsidR="00D2777E" w:rsidRPr="00A05DED" w:rsidRDefault="00E01811" w:rsidP="00D2777E">
      <w:pPr>
        <w:pStyle w:val="ListParagraph"/>
        <w:numPr>
          <w:ilvl w:val="0"/>
          <w:numId w:val="14"/>
        </w:numPr>
        <w:rPr>
          <w:sz w:val="22"/>
          <w:szCs w:val="22"/>
        </w:rPr>
      </w:pPr>
      <w:r w:rsidRPr="00A05DED">
        <w:rPr>
          <w:b/>
          <w:sz w:val="22"/>
          <w:szCs w:val="22"/>
        </w:rPr>
        <w:t>Scale and granular</w:t>
      </w:r>
      <w:r w:rsidR="00D2777E" w:rsidRPr="00A05DED">
        <w:rPr>
          <w:b/>
          <w:sz w:val="22"/>
          <w:szCs w:val="22"/>
        </w:rPr>
        <w:t>ity</w:t>
      </w:r>
      <w:r w:rsidR="004F3825" w:rsidRPr="00A05DED">
        <w:rPr>
          <w:sz w:val="22"/>
          <w:szCs w:val="22"/>
        </w:rPr>
        <w:t xml:space="preserve"> – </w:t>
      </w:r>
    </w:p>
    <w:p w:rsidR="00D2777E" w:rsidRPr="00A05DED" w:rsidRDefault="004F1463" w:rsidP="00D2777E">
      <w:pPr>
        <w:pStyle w:val="ListParagraph"/>
        <w:numPr>
          <w:ilvl w:val="2"/>
          <w:numId w:val="15"/>
        </w:numPr>
        <w:rPr>
          <w:sz w:val="22"/>
          <w:szCs w:val="22"/>
        </w:rPr>
      </w:pPr>
      <w:r w:rsidRPr="00A05DED">
        <w:rPr>
          <w:sz w:val="22"/>
          <w:szCs w:val="22"/>
        </w:rPr>
        <w:t>A</w:t>
      </w:r>
      <w:r w:rsidR="00FF142D" w:rsidRPr="00A05DED">
        <w:rPr>
          <w:sz w:val="22"/>
          <w:szCs w:val="22"/>
        </w:rPr>
        <w:t xml:space="preserve"> CITB and NSA Nuclear report</w:t>
      </w:r>
      <w:r w:rsidR="00FB3EA6" w:rsidRPr="00A05DED">
        <w:rPr>
          <w:sz w:val="22"/>
          <w:szCs w:val="22"/>
        </w:rPr>
        <w:t xml:space="preserve"> </w:t>
      </w:r>
      <w:r w:rsidR="00E67CE4" w:rsidRPr="00A05DED">
        <w:rPr>
          <w:sz w:val="22"/>
          <w:szCs w:val="22"/>
        </w:rPr>
        <w:t xml:space="preserve">argues </w:t>
      </w:r>
      <w:r w:rsidR="00FB3EA6" w:rsidRPr="00A05DED">
        <w:rPr>
          <w:sz w:val="22"/>
          <w:szCs w:val="22"/>
        </w:rPr>
        <w:t>that the civil engineering skills demand for the nuclear new build programme will be within the capacity of sector</w:t>
      </w:r>
      <w:r w:rsidR="001E7100" w:rsidRPr="00A05DED">
        <w:rPr>
          <w:rStyle w:val="EndnoteReference"/>
          <w:sz w:val="22"/>
          <w:szCs w:val="22"/>
        </w:rPr>
        <w:endnoteReference w:id="11"/>
      </w:r>
      <w:r w:rsidR="00FB3EA6" w:rsidRPr="00A05DED">
        <w:rPr>
          <w:sz w:val="22"/>
          <w:szCs w:val="22"/>
        </w:rPr>
        <w:t xml:space="preserve">. However, </w:t>
      </w:r>
      <w:r w:rsidR="00E67CE4" w:rsidRPr="00A05DED">
        <w:rPr>
          <w:sz w:val="22"/>
          <w:szCs w:val="22"/>
        </w:rPr>
        <w:t>it identifies</w:t>
      </w:r>
      <w:r w:rsidR="00FB3EA6" w:rsidRPr="00A05DED">
        <w:rPr>
          <w:sz w:val="22"/>
          <w:szCs w:val="22"/>
        </w:rPr>
        <w:t xml:space="preserve"> s</w:t>
      </w:r>
      <w:r w:rsidR="006D1C9D" w:rsidRPr="00A05DED">
        <w:rPr>
          <w:sz w:val="22"/>
          <w:szCs w:val="22"/>
        </w:rPr>
        <w:t xml:space="preserve">ome areas of potential </w:t>
      </w:r>
      <w:r w:rsidR="00E67CE4" w:rsidRPr="00A05DED">
        <w:rPr>
          <w:sz w:val="22"/>
          <w:szCs w:val="22"/>
        </w:rPr>
        <w:t>bottlenecks</w:t>
      </w:r>
      <w:r w:rsidR="006D1C9D" w:rsidRPr="00A05DED">
        <w:rPr>
          <w:sz w:val="22"/>
          <w:szCs w:val="22"/>
        </w:rPr>
        <w:t>, notably with the modelling suggesting that</w:t>
      </w:r>
      <w:r w:rsidR="003B2FCB" w:rsidRPr="00A05DED">
        <w:rPr>
          <w:sz w:val="22"/>
          <w:szCs w:val="22"/>
        </w:rPr>
        <w:t>,</w:t>
      </w:r>
      <w:r w:rsidR="006D1C9D" w:rsidRPr="00A05DED">
        <w:rPr>
          <w:sz w:val="22"/>
          <w:szCs w:val="22"/>
        </w:rPr>
        <w:t xml:space="preserve"> at peak</w:t>
      </w:r>
      <w:r w:rsidR="003B2FCB" w:rsidRPr="00A05DED">
        <w:rPr>
          <w:sz w:val="22"/>
          <w:szCs w:val="22"/>
        </w:rPr>
        <w:t>,</w:t>
      </w:r>
      <w:r w:rsidR="006D1C9D" w:rsidRPr="00A05DED">
        <w:rPr>
          <w:sz w:val="22"/>
          <w:szCs w:val="22"/>
        </w:rPr>
        <w:t xml:space="preserve"> nuclear new build will require 38% of the available concreters and 30% of available rebar fixers</w:t>
      </w:r>
      <w:r w:rsidR="004F3825" w:rsidRPr="00A05DED">
        <w:rPr>
          <w:sz w:val="22"/>
          <w:szCs w:val="22"/>
        </w:rPr>
        <w:t>.</w:t>
      </w:r>
    </w:p>
    <w:p w:rsidR="00D2777E" w:rsidRPr="00A05DED" w:rsidRDefault="00E01811" w:rsidP="00D2777E">
      <w:pPr>
        <w:pStyle w:val="ListParagraph"/>
        <w:numPr>
          <w:ilvl w:val="0"/>
          <w:numId w:val="14"/>
        </w:numPr>
        <w:rPr>
          <w:sz w:val="22"/>
          <w:szCs w:val="22"/>
        </w:rPr>
      </w:pPr>
      <w:r w:rsidRPr="00A05DED">
        <w:rPr>
          <w:b/>
          <w:sz w:val="22"/>
          <w:szCs w:val="22"/>
        </w:rPr>
        <w:t>Embeddedness and in</w:t>
      </w:r>
      <w:r w:rsidR="00D2777E" w:rsidRPr="00A05DED">
        <w:rPr>
          <w:b/>
          <w:sz w:val="22"/>
          <w:szCs w:val="22"/>
        </w:rPr>
        <w:t>er</w:t>
      </w:r>
      <w:r w:rsidRPr="00A05DED">
        <w:rPr>
          <w:b/>
          <w:sz w:val="22"/>
          <w:szCs w:val="22"/>
        </w:rPr>
        <w:t>t</w:t>
      </w:r>
      <w:r w:rsidR="00D2777E" w:rsidRPr="00A05DED">
        <w:rPr>
          <w:b/>
          <w:sz w:val="22"/>
          <w:szCs w:val="22"/>
        </w:rPr>
        <w:t>ia</w:t>
      </w:r>
      <w:r w:rsidR="004F3825" w:rsidRPr="00A05DED">
        <w:rPr>
          <w:sz w:val="22"/>
          <w:szCs w:val="22"/>
        </w:rPr>
        <w:t xml:space="preserve"> –</w:t>
      </w:r>
    </w:p>
    <w:p w:rsidR="00D9150E" w:rsidRPr="00A05DED" w:rsidRDefault="00FF142D">
      <w:pPr>
        <w:pStyle w:val="ListParagraph"/>
        <w:numPr>
          <w:ilvl w:val="2"/>
          <w:numId w:val="15"/>
        </w:numPr>
        <w:ind w:left="1077" w:hanging="357"/>
        <w:rPr>
          <w:sz w:val="22"/>
          <w:szCs w:val="22"/>
        </w:rPr>
      </w:pPr>
      <w:r w:rsidRPr="00A05DED">
        <w:rPr>
          <w:sz w:val="22"/>
          <w:szCs w:val="22"/>
        </w:rPr>
        <w:t>The construction industry has been described as ‘conservative’ and “lack[</w:t>
      </w:r>
      <w:proofErr w:type="spellStart"/>
      <w:r w:rsidRPr="00A05DED">
        <w:rPr>
          <w:sz w:val="22"/>
          <w:szCs w:val="22"/>
        </w:rPr>
        <w:t>ing</w:t>
      </w:r>
      <w:proofErr w:type="spellEnd"/>
      <w:r w:rsidRPr="00A05DED">
        <w:rPr>
          <w:sz w:val="22"/>
          <w:szCs w:val="22"/>
        </w:rPr>
        <w:t>] the necessary skills and experience required to implement novel technology”</w:t>
      </w:r>
      <w:r w:rsidRPr="00A05DED">
        <w:rPr>
          <w:rStyle w:val="EndnoteReference"/>
          <w:sz w:val="22"/>
          <w:szCs w:val="22"/>
        </w:rPr>
        <w:endnoteReference w:id="12"/>
      </w:r>
      <w:r w:rsidRPr="00A05DED">
        <w:rPr>
          <w:sz w:val="22"/>
          <w:szCs w:val="22"/>
        </w:rPr>
        <w:t>.</w:t>
      </w:r>
      <w:r w:rsidR="001619B1" w:rsidRPr="00A05DED">
        <w:rPr>
          <w:sz w:val="22"/>
          <w:szCs w:val="22"/>
        </w:rPr>
        <w:t xml:space="preserve"> </w:t>
      </w:r>
      <w:r w:rsidR="00D27A6B" w:rsidRPr="00A05DED">
        <w:rPr>
          <w:sz w:val="22"/>
          <w:szCs w:val="22"/>
        </w:rPr>
        <w:t xml:space="preserve">The changes to building regulations will require extensive innovation in technologies and methods. Problematically, the biggest changes will occur while the industry is emerging from recession </w:t>
      </w:r>
      <w:r w:rsidR="00E67CE4" w:rsidRPr="00A05DED">
        <w:rPr>
          <w:sz w:val="22"/>
          <w:szCs w:val="22"/>
        </w:rPr>
        <w:t xml:space="preserve">- </w:t>
      </w:r>
      <w:r w:rsidR="00D27A6B" w:rsidRPr="00A05DED">
        <w:rPr>
          <w:sz w:val="22"/>
          <w:szCs w:val="22"/>
        </w:rPr>
        <w:t>a period that traditionally is associated with skill shortages</w:t>
      </w:r>
      <w:r w:rsidR="00D27A6B" w:rsidRPr="00A05DED">
        <w:rPr>
          <w:rStyle w:val="EndnoteReference"/>
          <w:sz w:val="22"/>
          <w:szCs w:val="22"/>
        </w:rPr>
        <w:endnoteReference w:id="13"/>
      </w:r>
      <w:r w:rsidR="00D27A6B" w:rsidRPr="00A05DED">
        <w:rPr>
          <w:sz w:val="22"/>
          <w:szCs w:val="22"/>
        </w:rPr>
        <w:t>.</w:t>
      </w:r>
    </w:p>
    <w:p w:rsidR="00D9150E" w:rsidRPr="00A05DED" w:rsidRDefault="002462F4">
      <w:pPr>
        <w:pStyle w:val="ListParagraph"/>
        <w:numPr>
          <w:ilvl w:val="2"/>
          <w:numId w:val="15"/>
        </w:numPr>
        <w:ind w:left="1077" w:hanging="357"/>
        <w:rPr>
          <w:sz w:val="22"/>
          <w:szCs w:val="22"/>
        </w:rPr>
      </w:pPr>
      <w:r w:rsidRPr="00A05DED">
        <w:rPr>
          <w:sz w:val="22"/>
          <w:szCs w:val="22"/>
        </w:rPr>
        <w:t>Perceptions of the industry as dominated by ‘cowboys’</w:t>
      </w:r>
      <w:r w:rsidR="00F44DB7" w:rsidRPr="00A05DED">
        <w:rPr>
          <w:sz w:val="22"/>
          <w:szCs w:val="22"/>
        </w:rPr>
        <w:t xml:space="preserve"> dominate popular perceptions of the repair and maintenance portion of the sector and it is hoped that the registration and licensing inherent in the Green Deal will drive up training and standards</w:t>
      </w:r>
      <w:r w:rsidR="00772D1F" w:rsidRPr="00A05DED">
        <w:rPr>
          <w:rStyle w:val="EndnoteReference"/>
          <w:sz w:val="22"/>
          <w:szCs w:val="22"/>
        </w:rPr>
        <w:endnoteReference w:id="14"/>
      </w:r>
      <w:r w:rsidR="00F44DB7" w:rsidRPr="00A05DED">
        <w:rPr>
          <w:sz w:val="22"/>
          <w:szCs w:val="22"/>
        </w:rPr>
        <w:t>. However, such long entrenched perceptions will be difficult to shift.</w:t>
      </w:r>
    </w:p>
    <w:p w:rsidR="002364DC" w:rsidRPr="00A05DED" w:rsidRDefault="002364DC" w:rsidP="002364DC">
      <w:pPr>
        <w:pStyle w:val="ListParagraph"/>
        <w:ind w:left="1077"/>
        <w:rPr>
          <w:sz w:val="22"/>
          <w:szCs w:val="22"/>
        </w:rPr>
      </w:pPr>
    </w:p>
    <w:p w:rsidR="00E67CE4" w:rsidRPr="00A05DED" w:rsidRDefault="00356F66">
      <w:pPr>
        <w:jc w:val="both"/>
        <w:rPr>
          <w:sz w:val="22"/>
          <w:szCs w:val="22"/>
        </w:rPr>
      </w:pPr>
      <w:r w:rsidRPr="00A05DED">
        <w:rPr>
          <w:b/>
          <w:i/>
          <w:sz w:val="22"/>
          <w:szCs w:val="22"/>
        </w:rPr>
        <w:lastRenderedPageBreak/>
        <w:t xml:space="preserve">A number of potential policy responses to these </w:t>
      </w:r>
      <w:r w:rsidR="00765128" w:rsidRPr="00A05DED">
        <w:rPr>
          <w:b/>
          <w:i/>
          <w:sz w:val="22"/>
          <w:szCs w:val="22"/>
        </w:rPr>
        <w:t xml:space="preserve">skills constraints </w:t>
      </w:r>
      <w:r w:rsidRPr="00A05DED">
        <w:rPr>
          <w:b/>
          <w:i/>
          <w:sz w:val="22"/>
          <w:szCs w:val="22"/>
        </w:rPr>
        <w:t>are identified in the paper, but the applicability</w:t>
      </w:r>
      <w:r w:rsidR="004306DA" w:rsidRPr="00A05DED">
        <w:rPr>
          <w:b/>
          <w:i/>
          <w:sz w:val="22"/>
          <w:szCs w:val="22"/>
        </w:rPr>
        <w:t xml:space="preserve"> and likely success</w:t>
      </w:r>
      <w:r w:rsidRPr="00A05DED">
        <w:rPr>
          <w:b/>
          <w:i/>
          <w:sz w:val="22"/>
          <w:szCs w:val="22"/>
        </w:rPr>
        <w:t xml:space="preserve"> of these </w:t>
      </w:r>
      <w:r w:rsidR="004306DA" w:rsidRPr="00A05DED">
        <w:rPr>
          <w:b/>
          <w:i/>
          <w:sz w:val="22"/>
          <w:szCs w:val="22"/>
        </w:rPr>
        <w:t>in</w:t>
      </w:r>
      <w:r w:rsidRPr="00A05DED">
        <w:rPr>
          <w:b/>
          <w:i/>
          <w:sz w:val="22"/>
          <w:szCs w:val="22"/>
        </w:rPr>
        <w:t xml:space="preserve"> the current UK low carbon context needs to be considered</w:t>
      </w:r>
      <w:r w:rsidRPr="00A05DED">
        <w:rPr>
          <w:b/>
          <w:sz w:val="22"/>
          <w:szCs w:val="22"/>
        </w:rPr>
        <w:t>.</w:t>
      </w:r>
      <w:r w:rsidRPr="00A05DED">
        <w:rPr>
          <w:sz w:val="22"/>
          <w:szCs w:val="22"/>
        </w:rPr>
        <w:t xml:space="preserve"> These include</w:t>
      </w:r>
      <w:r w:rsidR="00E67CE4" w:rsidRPr="00A05DED">
        <w:rPr>
          <w:sz w:val="22"/>
          <w:szCs w:val="22"/>
        </w:rPr>
        <w:t>:</w:t>
      </w:r>
    </w:p>
    <w:p w:rsidR="004C74F7" w:rsidRPr="00A05DED" w:rsidRDefault="00E67CE4" w:rsidP="004C74F7">
      <w:pPr>
        <w:pStyle w:val="ListParagraph"/>
        <w:numPr>
          <w:ilvl w:val="0"/>
          <w:numId w:val="17"/>
        </w:numPr>
        <w:jc w:val="both"/>
        <w:rPr>
          <w:sz w:val="22"/>
          <w:szCs w:val="22"/>
        </w:rPr>
      </w:pPr>
      <w:r w:rsidRPr="00A05DED">
        <w:rPr>
          <w:b/>
          <w:sz w:val="22"/>
          <w:szCs w:val="22"/>
        </w:rPr>
        <w:t>F</w:t>
      </w:r>
      <w:r w:rsidR="00874CE1" w:rsidRPr="00A05DED">
        <w:rPr>
          <w:b/>
          <w:sz w:val="22"/>
          <w:szCs w:val="22"/>
        </w:rPr>
        <w:t>ormalisation of transferable qualifications</w:t>
      </w:r>
      <w:r w:rsidR="00874CE1" w:rsidRPr="00A05DED">
        <w:rPr>
          <w:sz w:val="22"/>
          <w:szCs w:val="22"/>
        </w:rPr>
        <w:t>;</w:t>
      </w:r>
    </w:p>
    <w:p w:rsidR="00F83E21" w:rsidRPr="00A05DED" w:rsidRDefault="00F930DA" w:rsidP="00F83E21">
      <w:pPr>
        <w:pStyle w:val="ListParagraph"/>
        <w:numPr>
          <w:ilvl w:val="1"/>
          <w:numId w:val="17"/>
        </w:numPr>
        <w:jc w:val="both"/>
        <w:rPr>
          <w:sz w:val="22"/>
          <w:szCs w:val="22"/>
        </w:rPr>
      </w:pPr>
      <w:r w:rsidRPr="00A05DED">
        <w:rPr>
          <w:sz w:val="22"/>
          <w:szCs w:val="22"/>
        </w:rPr>
        <w:t>As the energy efficiency and other low carbon labour markets develop</w:t>
      </w:r>
      <w:r w:rsidR="00016C73" w:rsidRPr="00A05DED">
        <w:rPr>
          <w:sz w:val="22"/>
          <w:szCs w:val="22"/>
        </w:rPr>
        <w:t>,</w:t>
      </w:r>
      <w:r w:rsidRPr="00A05DED">
        <w:rPr>
          <w:sz w:val="22"/>
          <w:szCs w:val="22"/>
        </w:rPr>
        <w:t xml:space="preserve"> there will need to be an increasing use of transferable qualifications in order to encourage the spread of good practice and to ensure that the fragmented construction labour market obtains the needed skills.</w:t>
      </w:r>
    </w:p>
    <w:p w:rsidR="00D9150E" w:rsidRPr="00A05DED" w:rsidRDefault="00E67CE4">
      <w:pPr>
        <w:pStyle w:val="ListParagraph"/>
        <w:numPr>
          <w:ilvl w:val="0"/>
          <w:numId w:val="17"/>
        </w:numPr>
        <w:jc w:val="both"/>
        <w:rPr>
          <w:sz w:val="22"/>
          <w:szCs w:val="22"/>
        </w:rPr>
      </w:pPr>
      <w:r w:rsidRPr="00A05DED">
        <w:rPr>
          <w:b/>
          <w:sz w:val="22"/>
          <w:szCs w:val="22"/>
        </w:rPr>
        <w:t>L</w:t>
      </w:r>
      <w:r w:rsidR="00874CE1" w:rsidRPr="00A05DED">
        <w:rPr>
          <w:b/>
          <w:sz w:val="22"/>
          <w:szCs w:val="22"/>
        </w:rPr>
        <w:t>egally-binding targets for carbon emissions reductions and low carbon technology deployment</w:t>
      </w:r>
      <w:r w:rsidR="00874CE1" w:rsidRPr="00A05DED">
        <w:rPr>
          <w:sz w:val="22"/>
          <w:szCs w:val="22"/>
        </w:rPr>
        <w:t xml:space="preserve">; </w:t>
      </w:r>
    </w:p>
    <w:p w:rsidR="00F83E21" w:rsidRPr="00A05DED" w:rsidRDefault="00B56F12" w:rsidP="00F83E21">
      <w:pPr>
        <w:pStyle w:val="ListParagraph"/>
        <w:numPr>
          <w:ilvl w:val="1"/>
          <w:numId w:val="17"/>
        </w:numPr>
        <w:jc w:val="both"/>
        <w:rPr>
          <w:sz w:val="22"/>
          <w:szCs w:val="22"/>
        </w:rPr>
      </w:pPr>
      <w:r w:rsidRPr="00A05DED">
        <w:rPr>
          <w:sz w:val="22"/>
          <w:szCs w:val="22"/>
        </w:rPr>
        <w:t xml:space="preserve">The UK has legally binding </w:t>
      </w:r>
      <w:r w:rsidR="0010098A" w:rsidRPr="00A05DED">
        <w:rPr>
          <w:sz w:val="22"/>
          <w:szCs w:val="22"/>
        </w:rPr>
        <w:t xml:space="preserve">long term </w:t>
      </w:r>
      <w:r w:rsidRPr="00A05DED">
        <w:rPr>
          <w:sz w:val="22"/>
          <w:szCs w:val="22"/>
        </w:rPr>
        <w:t>carbon emissions targets as a result of the Climate Change Act</w:t>
      </w:r>
      <w:r w:rsidR="009D0811" w:rsidRPr="00A05DED">
        <w:rPr>
          <w:rStyle w:val="EndnoteReference"/>
          <w:sz w:val="22"/>
          <w:szCs w:val="22"/>
        </w:rPr>
        <w:endnoteReference w:id="15"/>
      </w:r>
      <w:r w:rsidR="0010098A" w:rsidRPr="00A05DED">
        <w:rPr>
          <w:sz w:val="22"/>
          <w:szCs w:val="22"/>
        </w:rPr>
        <w:t>. However</w:t>
      </w:r>
      <w:r w:rsidR="00A42338" w:rsidRPr="00A05DED">
        <w:rPr>
          <w:sz w:val="22"/>
          <w:szCs w:val="22"/>
        </w:rPr>
        <w:t xml:space="preserve">, shorter </w:t>
      </w:r>
      <w:r w:rsidR="00016C73" w:rsidRPr="00A05DED">
        <w:rPr>
          <w:sz w:val="22"/>
          <w:szCs w:val="22"/>
        </w:rPr>
        <w:t xml:space="preserve">and medium </w:t>
      </w:r>
      <w:r w:rsidR="00A42338" w:rsidRPr="00A05DED">
        <w:rPr>
          <w:sz w:val="22"/>
          <w:szCs w:val="22"/>
        </w:rPr>
        <w:t>term targets</w:t>
      </w:r>
      <w:r w:rsidR="00016C73" w:rsidRPr="00A05DED">
        <w:rPr>
          <w:sz w:val="22"/>
          <w:szCs w:val="22"/>
        </w:rPr>
        <w:t>, such as for electricity system decarbonisation,</w:t>
      </w:r>
      <w:r w:rsidR="00A42338" w:rsidRPr="00A05DED">
        <w:rPr>
          <w:sz w:val="22"/>
          <w:szCs w:val="22"/>
        </w:rPr>
        <w:t xml:space="preserve"> are another method of </w:t>
      </w:r>
      <w:r w:rsidR="00D80AB0" w:rsidRPr="00A05DED">
        <w:rPr>
          <w:sz w:val="22"/>
          <w:szCs w:val="22"/>
        </w:rPr>
        <w:t xml:space="preserve">providing certainty which can reduce </w:t>
      </w:r>
      <w:r w:rsidR="00016C73" w:rsidRPr="00A05DED">
        <w:rPr>
          <w:sz w:val="22"/>
          <w:szCs w:val="22"/>
        </w:rPr>
        <w:t>investment costs</w:t>
      </w:r>
      <w:r w:rsidR="00D80AB0" w:rsidRPr="00A05DED">
        <w:rPr>
          <w:sz w:val="22"/>
          <w:szCs w:val="22"/>
        </w:rPr>
        <w:t xml:space="preserve"> and encourage investments in infrastructure and skills.</w:t>
      </w:r>
      <w:r w:rsidR="0010098A" w:rsidRPr="00A05DED">
        <w:rPr>
          <w:sz w:val="22"/>
          <w:szCs w:val="22"/>
        </w:rPr>
        <w:t xml:space="preserve"> </w:t>
      </w:r>
    </w:p>
    <w:p w:rsidR="00D9150E" w:rsidRPr="00A05DED" w:rsidRDefault="00E67CE4">
      <w:pPr>
        <w:pStyle w:val="ListParagraph"/>
        <w:numPr>
          <w:ilvl w:val="0"/>
          <w:numId w:val="17"/>
        </w:numPr>
        <w:jc w:val="both"/>
        <w:rPr>
          <w:sz w:val="22"/>
          <w:szCs w:val="22"/>
        </w:rPr>
      </w:pPr>
      <w:r w:rsidRPr="00A05DED">
        <w:rPr>
          <w:b/>
          <w:sz w:val="22"/>
          <w:szCs w:val="22"/>
        </w:rPr>
        <w:t>F</w:t>
      </w:r>
      <w:r w:rsidR="00874CE1" w:rsidRPr="00A05DED">
        <w:rPr>
          <w:b/>
          <w:sz w:val="22"/>
          <w:szCs w:val="22"/>
        </w:rPr>
        <w:t>ramework contracts and agreements between actors in key sectors</w:t>
      </w:r>
      <w:r w:rsidR="00874CE1" w:rsidRPr="00A05DED">
        <w:rPr>
          <w:sz w:val="22"/>
          <w:szCs w:val="22"/>
        </w:rPr>
        <w:t xml:space="preserve">; </w:t>
      </w:r>
    </w:p>
    <w:p w:rsidR="00F83E21" w:rsidRPr="00A05DED" w:rsidRDefault="005351A0" w:rsidP="00F83E21">
      <w:pPr>
        <w:pStyle w:val="ListParagraph"/>
        <w:numPr>
          <w:ilvl w:val="1"/>
          <w:numId w:val="17"/>
        </w:numPr>
        <w:jc w:val="both"/>
        <w:rPr>
          <w:sz w:val="22"/>
          <w:szCs w:val="22"/>
        </w:rPr>
      </w:pPr>
      <w:r w:rsidRPr="00A05DED">
        <w:rPr>
          <w:sz w:val="22"/>
          <w:szCs w:val="22"/>
        </w:rPr>
        <w:t>National Grid have a framework contract with the Electricity Alliance with those who can provide grid reinforcement work which provides a basis for planning and limits mutual poaching of staff</w:t>
      </w:r>
      <w:r w:rsidR="00C340DE" w:rsidRPr="00A05DED">
        <w:rPr>
          <w:rStyle w:val="EndnoteReference"/>
          <w:sz w:val="22"/>
          <w:szCs w:val="22"/>
        </w:rPr>
        <w:endnoteReference w:id="16"/>
      </w:r>
      <w:r w:rsidRPr="00A05DED">
        <w:rPr>
          <w:sz w:val="22"/>
          <w:szCs w:val="22"/>
        </w:rPr>
        <w:t>.</w:t>
      </w:r>
      <w:r w:rsidR="002C11ED" w:rsidRPr="00A05DED">
        <w:rPr>
          <w:sz w:val="22"/>
          <w:szCs w:val="22"/>
        </w:rPr>
        <w:t xml:space="preserve"> </w:t>
      </w:r>
      <w:r w:rsidR="00756A5C" w:rsidRPr="00A05DED">
        <w:rPr>
          <w:sz w:val="22"/>
          <w:szCs w:val="22"/>
        </w:rPr>
        <w:t xml:space="preserve">This is an approach consistent with HM Treasury’s Infrastructure </w:t>
      </w:r>
      <w:r w:rsidR="00D17F15" w:rsidRPr="00A05DED">
        <w:rPr>
          <w:sz w:val="22"/>
          <w:szCs w:val="22"/>
        </w:rPr>
        <w:t>UK Infrastructure Plan</w:t>
      </w:r>
      <w:r w:rsidR="00D17F15" w:rsidRPr="00A05DED">
        <w:rPr>
          <w:rStyle w:val="EndnoteReference"/>
          <w:sz w:val="22"/>
          <w:szCs w:val="22"/>
        </w:rPr>
        <w:endnoteReference w:id="17"/>
      </w:r>
      <w:r w:rsidR="00D17F15" w:rsidRPr="00A05DED">
        <w:rPr>
          <w:sz w:val="22"/>
          <w:szCs w:val="22"/>
        </w:rPr>
        <w:t>.</w:t>
      </w:r>
    </w:p>
    <w:p w:rsidR="00D9150E" w:rsidRPr="00A05DED" w:rsidRDefault="00E67CE4">
      <w:pPr>
        <w:pStyle w:val="ListParagraph"/>
        <w:numPr>
          <w:ilvl w:val="0"/>
          <w:numId w:val="17"/>
        </w:numPr>
        <w:jc w:val="both"/>
        <w:rPr>
          <w:sz w:val="22"/>
          <w:szCs w:val="22"/>
        </w:rPr>
      </w:pPr>
      <w:r w:rsidRPr="00A05DED">
        <w:rPr>
          <w:b/>
          <w:sz w:val="22"/>
          <w:szCs w:val="22"/>
        </w:rPr>
        <w:t>L</w:t>
      </w:r>
      <w:r w:rsidR="00874CE1" w:rsidRPr="00A05DED">
        <w:rPr>
          <w:b/>
          <w:sz w:val="22"/>
          <w:szCs w:val="22"/>
        </w:rPr>
        <w:t>icensing and accreditation schemes for key technology sectors</w:t>
      </w:r>
      <w:r w:rsidR="00874CE1" w:rsidRPr="00A05DED">
        <w:rPr>
          <w:sz w:val="22"/>
          <w:szCs w:val="22"/>
        </w:rPr>
        <w:t xml:space="preserve">; </w:t>
      </w:r>
    </w:p>
    <w:p w:rsidR="007C3A6B" w:rsidRPr="00A05DED" w:rsidRDefault="007C3A6B" w:rsidP="007C3A6B">
      <w:pPr>
        <w:pStyle w:val="ListParagraph"/>
        <w:numPr>
          <w:ilvl w:val="1"/>
          <w:numId w:val="17"/>
        </w:numPr>
        <w:jc w:val="both"/>
        <w:rPr>
          <w:sz w:val="22"/>
          <w:szCs w:val="22"/>
        </w:rPr>
      </w:pPr>
      <w:r w:rsidRPr="00A05DED">
        <w:rPr>
          <w:sz w:val="22"/>
          <w:szCs w:val="22"/>
        </w:rPr>
        <w:t>The CITB, ECITB and NSA Nuclear operate card schemes with many sites operating minimum qualification standards</w:t>
      </w:r>
      <w:r w:rsidR="0038769B" w:rsidRPr="00A05DED">
        <w:rPr>
          <w:rStyle w:val="EndnoteReference"/>
          <w:sz w:val="22"/>
          <w:szCs w:val="22"/>
        </w:rPr>
        <w:endnoteReference w:id="18"/>
      </w:r>
      <w:r w:rsidR="0006684B" w:rsidRPr="00A05DED">
        <w:rPr>
          <w:sz w:val="22"/>
          <w:szCs w:val="22"/>
        </w:rPr>
        <w:t>,</w:t>
      </w:r>
      <w:r w:rsidRPr="00A05DED">
        <w:rPr>
          <w:sz w:val="22"/>
          <w:szCs w:val="22"/>
        </w:rPr>
        <w:t xml:space="preserve"> while other schemes such as Gas Safe and the Microgeneration Certification Scheme also have minimum standards for operation.</w:t>
      </w:r>
    </w:p>
    <w:p w:rsidR="00D9150E" w:rsidRPr="00A05DED" w:rsidRDefault="00E67CE4">
      <w:pPr>
        <w:pStyle w:val="ListParagraph"/>
        <w:numPr>
          <w:ilvl w:val="0"/>
          <w:numId w:val="17"/>
        </w:numPr>
        <w:jc w:val="both"/>
        <w:rPr>
          <w:sz w:val="22"/>
          <w:szCs w:val="22"/>
        </w:rPr>
      </w:pPr>
      <w:r w:rsidRPr="00A05DED">
        <w:rPr>
          <w:b/>
          <w:sz w:val="22"/>
          <w:szCs w:val="22"/>
        </w:rPr>
        <w:t>G</w:t>
      </w:r>
      <w:r w:rsidR="00874CE1" w:rsidRPr="00A05DED">
        <w:rPr>
          <w:b/>
          <w:sz w:val="22"/>
          <w:szCs w:val="22"/>
        </w:rPr>
        <w:t>overnment support for skills academies and training centres</w:t>
      </w:r>
      <w:r w:rsidR="00874CE1" w:rsidRPr="00A05DED">
        <w:rPr>
          <w:sz w:val="22"/>
          <w:szCs w:val="22"/>
        </w:rPr>
        <w:t xml:space="preserve">; </w:t>
      </w:r>
    </w:p>
    <w:p w:rsidR="007C3A6B" w:rsidRPr="00A05DED" w:rsidRDefault="00B56F12" w:rsidP="007C3A6B">
      <w:pPr>
        <w:pStyle w:val="ListParagraph"/>
        <w:numPr>
          <w:ilvl w:val="1"/>
          <w:numId w:val="17"/>
        </w:numPr>
        <w:jc w:val="both"/>
        <w:rPr>
          <w:sz w:val="22"/>
          <w:szCs w:val="22"/>
        </w:rPr>
      </w:pPr>
      <w:r w:rsidRPr="00A05DED">
        <w:rPr>
          <w:sz w:val="22"/>
          <w:szCs w:val="22"/>
        </w:rPr>
        <w:t>National Skills Academies that develop new qualifications in particular areas increasingly have to be self-sufficient and dependent on an employer base</w:t>
      </w:r>
      <w:r w:rsidR="0067185A" w:rsidRPr="00A05DED">
        <w:rPr>
          <w:rStyle w:val="EndnoteReference"/>
          <w:sz w:val="22"/>
          <w:szCs w:val="22"/>
        </w:rPr>
        <w:endnoteReference w:id="19"/>
      </w:r>
      <w:r w:rsidRPr="00A05DED">
        <w:rPr>
          <w:sz w:val="22"/>
          <w:szCs w:val="22"/>
        </w:rPr>
        <w:t>. However, there is a case for continuing support in critical low carbon areas where the potential for significant employment creation exists.</w:t>
      </w:r>
      <w:r w:rsidR="00FB6216" w:rsidRPr="00A05DED">
        <w:rPr>
          <w:sz w:val="22"/>
          <w:szCs w:val="22"/>
        </w:rPr>
        <w:t xml:space="preserve"> The Government has supported efforts to train trainers and training courses associated with the Green Deal</w:t>
      </w:r>
      <w:r w:rsidR="005C6979" w:rsidRPr="00A05DED">
        <w:rPr>
          <w:rStyle w:val="EndnoteReference"/>
          <w:sz w:val="22"/>
          <w:szCs w:val="22"/>
        </w:rPr>
        <w:endnoteReference w:id="20"/>
      </w:r>
      <w:r w:rsidR="00FB6216" w:rsidRPr="00A05DED">
        <w:rPr>
          <w:sz w:val="22"/>
          <w:szCs w:val="22"/>
        </w:rPr>
        <w:t>. There is a case for similar support elsewhere in the low carbon area, especially surrounding the Renewable Heat Incentive.</w:t>
      </w:r>
    </w:p>
    <w:p w:rsidR="00D9150E" w:rsidRPr="00A05DED" w:rsidRDefault="00E67CE4">
      <w:pPr>
        <w:pStyle w:val="ListParagraph"/>
        <w:numPr>
          <w:ilvl w:val="0"/>
          <w:numId w:val="17"/>
        </w:numPr>
        <w:jc w:val="both"/>
        <w:rPr>
          <w:sz w:val="22"/>
          <w:szCs w:val="22"/>
        </w:rPr>
      </w:pPr>
      <w:r w:rsidRPr="00A05DED">
        <w:rPr>
          <w:b/>
          <w:sz w:val="22"/>
          <w:szCs w:val="22"/>
        </w:rPr>
        <w:t>S</w:t>
      </w:r>
      <w:r w:rsidR="00874CE1" w:rsidRPr="00A05DED">
        <w:rPr>
          <w:b/>
          <w:sz w:val="22"/>
          <w:szCs w:val="22"/>
        </w:rPr>
        <w:t>upport for first movers in niches</w:t>
      </w:r>
      <w:r w:rsidR="00874CE1" w:rsidRPr="00A05DED">
        <w:rPr>
          <w:sz w:val="22"/>
          <w:szCs w:val="22"/>
        </w:rPr>
        <w:t xml:space="preserve">; </w:t>
      </w:r>
    </w:p>
    <w:p w:rsidR="007C3A6B" w:rsidRPr="00A05DED" w:rsidRDefault="00312DDD" w:rsidP="007C3A6B">
      <w:pPr>
        <w:pStyle w:val="ListParagraph"/>
        <w:numPr>
          <w:ilvl w:val="1"/>
          <w:numId w:val="17"/>
        </w:numPr>
        <w:jc w:val="both"/>
        <w:rPr>
          <w:sz w:val="22"/>
          <w:szCs w:val="22"/>
        </w:rPr>
      </w:pPr>
      <w:r w:rsidRPr="00A05DED">
        <w:rPr>
          <w:sz w:val="22"/>
          <w:szCs w:val="22"/>
        </w:rPr>
        <w:t>Innovation in energy, and other systems, can be encouraged through the creation and support of niches within which developments can be accelerated outside of the main-stream</w:t>
      </w:r>
      <w:r w:rsidRPr="00A05DED">
        <w:rPr>
          <w:rStyle w:val="EndnoteReference"/>
          <w:sz w:val="22"/>
          <w:szCs w:val="22"/>
        </w:rPr>
        <w:endnoteReference w:id="21"/>
      </w:r>
      <w:r w:rsidRPr="00A05DED">
        <w:rPr>
          <w:sz w:val="22"/>
          <w:szCs w:val="22"/>
        </w:rPr>
        <w:t xml:space="preserve">. </w:t>
      </w:r>
    </w:p>
    <w:p w:rsidR="00D9150E" w:rsidRPr="00A05DED" w:rsidRDefault="00E67CE4">
      <w:pPr>
        <w:pStyle w:val="ListParagraph"/>
        <w:numPr>
          <w:ilvl w:val="0"/>
          <w:numId w:val="17"/>
        </w:numPr>
        <w:jc w:val="both"/>
        <w:rPr>
          <w:sz w:val="22"/>
          <w:szCs w:val="22"/>
        </w:rPr>
      </w:pPr>
      <w:r w:rsidRPr="00A05DED">
        <w:rPr>
          <w:b/>
          <w:sz w:val="22"/>
          <w:szCs w:val="22"/>
        </w:rPr>
        <w:t>I</w:t>
      </w:r>
      <w:r w:rsidR="00874CE1" w:rsidRPr="00A05DED">
        <w:rPr>
          <w:b/>
          <w:sz w:val="22"/>
          <w:szCs w:val="22"/>
        </w:rPr>
        <w:t>ncreasing mob</w:t>
      </w:r>
      <w:r w:rsidR="00D469B2" w:rsidRPr="00A05DED">
        <w:rPr>
          <w:b/>
          <w:sz w:val="22"/>
          <w:szCs w:val="22"/>
        </w:rPr>
        <w:t>ility of workers</w:t>
      </w:r>
      <w:r w:rsidR="00D469B2" w:rsidRPr="00A05DED">
        <w:rPr>
          <w:sz w:val="22"/>
          <w:szCs w:val="22"/>
        </w:rPr>
        <w:t>;</w:t>
      </w:r>
    </w:p>
    <w:p w:rsidR="0081264F" w:rsidRPr="00A05DED" w:rsidRDefault="00FA0DC5" w:rsidP="0081264F">
      <w:pPr>
        <w:pStyle w:val="ListParagraph"/>
        <w:numPr>
          <w:ilvl w:val="1"/>
          <w:numId w:val="17"/>
        </w:numPr>
        <w:jc w:val="both"/>
        <w:rPr>
          <w:sz w:val="22"/>
          <w:szCs w:val="22"/>
        </w:rPr>
      </w:pPr>
      <w:r w:rsidRPr="00A05DED">
        <w:rPr>
          <w:sz w:val="22"/>
          <w:szCs w:val="22"/>
        </w:rPr>
        <w:t>The low carbon transition will require the generation of a mobile workforce able and willing to follow the construction requirements of the low carbon transition. This will require the building upon and reinforcement of schemes such as the Engineering Construction</w:t>
      </w:r>
      <w:r w:rsidR="00D469B2" w:rsidRPr="00A05DED">
        <w:rPr>
          <w:sz w:val="22"/>
          <w:szCs w:val="22"/>
        </w:rPr>
        <w:t xml:space="preserve"> Skills for the Future</w:t>
      </w:r>
      <w:r w:rsidR="00D469B2" w:rsidRPr="00A05DED">
        <w:rPr>
          <w:rStyle w:val="EndnoteReference"/>
          <w:sz w:val="22"/>
          <w:szCs w:val="22"/>
        </w:rPr>
        <w:endnoteReference w:id="22"/>
      </w:r>
      <w:r w:rsidR="00D469B2" w:rsidRPr="00A05DED">
        <w:rPr>
          <w:sz w:val="22"/>
          <w:szCs w:val="22"/>
        </w:rPr>
        <w:t>.</w:t>
      </w:r>
      <w:r w:rsidRPr="00A05DED">
        <w:rPr>
          <w:sz w:val="22"/>
          <w:szCs w:val="22"/>
        </w:rPr>
        <w:t xml:space="preserve"> </w:t>
      </w:r>
    </w:p>
    <w:p w:rsidR="00D9150E" w:rsidRPr="00A05DED" w:rsidRDefault="00E67CE4">
      <w:pPr>
        <w:pStyle w:val="ListParagraph"/>
        <w:numPr>
          <w:ilvl w:val="0"/>
          <w:numId w:val="17"/>
        </w:numPr>
        <w:jc w:val="both"/>
        <w:rPr>
          <w:sz w:val="22"/>
          <w:szCs w:val="22"/>
        </w:rPr>
      </w:pPr>
      <w:r w:rsidRPr="00A05DED">
        <w:rPr>
          <w:b/>
          <w:sz w:val="22"/>
          <w:szCs w:val="22"/>
        </w:rPr>
        <w:t>P</w:t>
      </w:r>
      <w:r w:rsidR="00874CE1" w:rsidRPr="00A05DED">
        <w:rPr>
          <w:b/>
          <w:sz w:val="22"/>
          <w:szCs w:val="22"/>
        </w:rPr>
        <w:t>roviding a clear long-term cross-sectoral framework for a low carbon transi</w:t>
      </w:r>
      <w:r w:rsidR="007E5321" w:rsidRPr="00A05DED">
        <w:rPr>
          <w:b/>
          <w:sz w:val="22"/>
          <w:szCs w:val="22"/>
        </w:rPr>
        <w:t>tion, including skills training</w:t>
      </w:r>
      <w:r w:rsidR="007E5321" w:rsidRPr="00A05DED">
        <w:rPr>
          <w:sz w:val="22"/>
          <w:szCs w:val="22"/>
        </w:rPr>
        <w:t>;</w:t>
      </w:r>
    </w:p>
    <w:p w:rsidR="0081264F" w:rsidRPr="00A05DED" w:rsidRDefault="00E52A26" w:rsidP="0081264F">
      <w:pPr>
        <w:pStyle w:val="ListParagraph"/>
        <w:numPr>
          <w:ilvl w:val="1"/>
          <w:numId w:val="17"/>
        </w:numPr>
        <w:jc w:val="both"/>
        <w:rPr>
          <w:sz w:val="22"/>
          <w:szCs w:val="22"/>
        </w:rPr>
      </w:pPr>
      <w:r w:rsidRPr="00A05DED">
        <w:rPr>
          <w:sz w:val="22"/>
          <w:szCs w:val="22"/>
        </w:rPr>
        <w:t xml:space="preserve">The National Infrastructure Plan could be extended to cover the skills required as this </w:t>
      </w:r>
      <w:r w:rsidR="0044535D" w:rsidRPr="00A05DED">
        <w:rPr>
          <w:sz w:val="22"/>
          <w:szCs w:val="22"/>
        </w:rPr>
        <w:t>c</w:t>
      </w:r>
      <w:r w:rsidRPr="00A05DED">
        <w:rPr>
          <w:sz w:val="22"/>
          <w:szCs w:val="22"/>
        </w:rPr>
        <w:t xml:space="preserve">ould allow the avoidance of negative </w:t>
      </w:r>
      <w:proofErr w:type="spellStart"/>
      <w:r w:rsidRPr="00A05DED">
        <w:rPr>
          <w:sz w:val="22"/>
          <w:szCs w:val="22"/>
        </w:rPr>
        <w:t>spillovers</w:t>
      </w:r>
      <w:proofErr w:type="spellEnd"/>
      <w:r w:rsidRPr="00A05DED">
        <w:rPr>
          <w:sz w:val="22"/>
          <w:szCs w:val="22"/>
        </w:rPr>
        <w:t xml:space="preserve"> between </w:t>
      </w:r>
      <w:r w:rsidRPr="00A05DED">
        <w:rPr>
          <w:sz w:val="22"/>
          <w:szCs w:val="22"/>
        </w:rPr>
        <w:lastRenderedPageBreak/>
        <w:t>sectors. However, this would need to be done at the sort of detailed occupational level that the CITB</w:t>
      </w:r>
      <w:r w:rsidRPr="00A05DED">
        <w:rPr>
          <w:rStyle w:val="EndnoteReference"/>
          <w:sz w:val="22"/>
          <w:szCs w:val="22"/>
        </w:rPr>
        <w:endnoteReference w:id="23"/>
      </w:r>
      <w:r w:rsidRPr="00A05DED">
        <w:rPr>
          <w:sz w:val="22"/>
          <w:szCs w:val="22"/>
        </w:rPr>
        <w:t xml:space="preserve"> and the ECITB</w:t>
      </w:r>
      <w:r w:rsidR="00101162" w:rsidRPr="00A05DED">
        <w:rPr>
          <w:rStyle w:val="EndnoteReference"/>
          <w:sz w:val="22"/>
          <w:szCs w:val="22"/>
        </w:rPr>
        <w:endnoteReference w:id="24"/>
      </w:r>
      <w:r w:rsidRPr="00A05DED">
        <w:rPr>
          <w:sz w:val="22"/>
          <w:szCs w:val="22"/>
        </w:rPr>
        <w:t xml:space="preserve"> model future demand.</w:t>
      </w:r>
    </w:p>
    <w:p w:rsidR="00EF428C" w:rsidRPr="00A05DED" w:rsidRDefault="007E5321">
      <w:pPr>
        <w:jc w:val="both"/>
        <w:rPr>
          <w:b/>
          <w:i/>
          <w:sz w:val="22"/>
          <w:szCs w:val="22"/>
        </w:rPr>
      </w:pPr>
      <w:r w:rsidRPr="00A05DED">
        <w:rPr>
          <w:b/>
          <w:i/>
          <w:sz w:val="22"/>
          <w:szCs w:val="22"/>
        </w:rPr>
        <w:t>The UK g</w:t>
      </w:r>
      <w:r w:rsidR="00356F66" w:rsidRPr="00A05DED">
        <w:rPr>
          <w:b/>
          <w:i/>
          <w:sz w:val="22"/>
          <w:szCs w:val="22"/>
        </w:rPr>
        <w:t xml:space="preserve">overnment and training bodies, such as the Green Deal Skills Alliance, are seeking to </w:t>
      </w:r>
      <w:r w:rsidR="00765128" w:rsidRPr="00A05DED">
        <w:rPr>
          <w:b/>
          <w:i/>
          <w:sz w:val="22"/>
          <w:szCs w:val="22"/>
        </w:rPr>
        <w:t xml:space="preserve">provide an enabling framework to </w:t>
      </w:r>
      <w:r w:rsidR="00356F66" w:rsidRPr="00A05DED">
        <w:rPr>
          <w:b/>
          <w:i/>
          <w:sz w:val="22"/>
          <w:szCs w:val="22"/>
        </w:rPr>
        <w:t xml:space="preserve">address these </w:t>
      </w:r>
      <w:r w:rsidR="00765128" w:rsidRPr="00A05DED">
        <w:rPr>
          <w:b/>
          <w:i/>
          <w:sz w:val="22"/>
          <w:szCs w:val="22"/>
        </w:rPr>
        <w:t>constraints</w:t>
      </w:r>
      <w:r w:rsidR="00356F66" w:rsidRPr="00A05DED">
        <w:rPr>
          <w:b/>
          <w:i/>
          <w:sz w:val="22"/>
          <w:szCs w:val="22"/>
        </w:rPr>
        <w:t>, for example through DECC’s Energy Efficiency Strategy</w:t>
      </w:r>
      <w:r w:rsidR="001E7100" w:rsidRPr="00A05DED">
        <w:rPr>
          <w:rStyle w:val="EndnoteReference"/>
          <w:b/>
          <w:i/>
          <w:sz w:val="22"/>
          <w:szCs w:val="22"/>
        </w:rPr>
        <w:endnoteReference w:id="25"/>
      </w:r>
      <w:r w:rsidR="00356F66" w:rsidRPr="00A05DED">
        <w:rPr>
          <w:b/>
          <w:i/>
          <w:sz w:val="22"/>
          <w:szCs w:val="22"/>
        </w:rPr>
        <w:t xml:space="preserve"> and BIS’s report on ‘Skills for a green economy’</w:t>
      </w:r>
      <w:r w:rsidR="00765128" w:rsidRPr="00A05DED">
        <w:rPr>
          <w:rStyle w:val="EndnoteReference"/>
          <w:b/>
          <w:i/>
          <w:sz w:val="22"/>
          <w:szCs w:val="22"/>
        </w:rPr>
        <w:endnoteReference w:id="26"/>
      </w:r>
      <w:r w:rsidR="00765128" w:rsidRPr="00A05DED">
        <w:rPr>
          <w:b/>
          <w:i/>
          <w:sz w:val="22"/>
          <w:szCs w:val="22"/>
        </w:rPr>
        <w:t>. These types of measures aim to support private sector investment in new job</w:t>
      </w:r>
      <w:r w:rsidR="00CE78EA" w:rsidRPr="00A05DED">
        <w:rPr>
          <w:b/>
          <w:i/>
          <w:sz w:val="22"/>
          <w:szCs w:val="22"/>
        </w:rPr>
        <w:t>s</w:t>
      </w:r>
      <w:bookmarkStart w:id="0" w:name="_GoBack"/>
      <w:bookmarkEnd w:id="0"/>
      <w:r w:rsidR="00765128" w:rsidRPr="00A05DED">
        <w:rPr>
          <w:b/>
          <w:i/>
          <w:sz w:val="22"/>
          <w:szCs w:val="22"/>
        </w:rPr>
        <w:t xml:space="preserve"> and appropriate skills training in this area. The workshop will explore whether further policy or implementation measures by government or private sector may be needed to address these constraints, so that they do not create significant barriers to a low carbon transition in the UK.</w:t>
      </w:r>
    </w:p>
    <w:p w:rsidR="002E216B" w:rsidRPr="00A05DED" w:rsidRDefault="002E216B" w:rsidP="002A237B">
      <w:pPr>
        <w:rPr>
          <w:sz w:val="22"/>
          <w:szCs w:val="22"/>
        </w:rPr>
      </w:pPr>
    </w:p>
    <w:sectPr w:rsidR="002E216B" w:rsidRPr="00A05DED" w:rsidSect="00C43089">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AC" w:rsidRDefault="00AD33AC" w:rsidP="006E2F3C">
      <w:pPr>
        <w:spacing w:before="0" w:line="240" w:lineRule="auto"/>
      </w:pPr>
      <w:r>
        <w:separator/>
      </w:r>
    </w:p>
  </w:endnote>
  <w:endnote w:type="continuationSeparator" w:id="0">
    <w:p w:rsidR="00AD33AC" w:rsidRDefault="00AD33AC" w:rsidP="006E2F3C">
      <w:pPr>
        <w:spacing w:before="0" w:line="240" w:lineRule="auto"/>
      </w:pPr>
      <w:r>
        <w:continuationSeparator/>
      </w:r>
    </w:p>
  </w:endnote>
  <w:endnote w:id="1">
    <w:p w:rsidR="00AD33AC" w:rsidRPr="00372269" w:rsidRDefault="00AD33AC">
      <w:pPr>
        <w:pStyle w:val="EndnoteText"/>
        <w:rPr>
          <w:sz w:val="20"/>
        </w:rPr>
      </w:pPr>
      <w:r w:rsidRPr="0045289A">
        <w:rPr>
          <w:rStyle w:val="EndnoteReference"/>
          <w:sz w:val="20"/>
        </w:rPr>
        <w:endnoteRef/>
      </w:r>
      <w:r w:rsidRPr="0045289A">
        <w:rPr>
          <w:sz w:val="20"/>
        </w:rPr>
        <w:t xml:space="preserve"> Nick Jagger, Tim Foxon and Andy Gouldson (2012)</w:t>
      </w:r>
      <w:r>
        <w:rPr>
          <w:sz w:val="20"/>
        </w:rPr>
        <w:t>,</w:t>
      </w:r>
      <w:r w:rsidRPr="0045289A">
        <w:rPr>
          <w:sz w:val="20"/>
        </w:rPr>
        <w:t xml:space="preserve"> Skills constraints and the low carbon transition, Climate Policy, </w:t>
      </w:r>
      <w:hyperlink r:id="rId1" w:history="1">
        <w:r w:rsidRPr="0045289A">
          <w:rPr>
            <w:rStyle w:val="Hyperlink"/>
            <w:sz w:val="20"/>
          </w:rPr>
          <w:t>http://dx.doi.org/10.1080/14693062.2012.709079</w:t>
        </w:r>
      </w:hyperlink>
      <w:r>
        <w:rPr>
          <w:rFonts w:ascii="Trebuchet MS" w:hAnsi="Trebuchet MS" w:cs="Trebuchet MS"/>
          <w:color w:val="0000FF"/>
          <w:sz w:val="20"/>
        </w:rPr>
        <w:t xml:space="preserve"> </w:t>
      </w:r>
    </w:p>
  </w:endnote>
  <w:endnote w:id="2">
    <w:p w:rsidR="00AD33AC" w:rsidRDefault="00AD33AC" w:rsidP="00414F1C">
      <w:pPr>
        <w:pStyle w:val="EndnoteText"/>
      </w:pPr>
      <w:r>
        <w:rPr>
          <w:rStyle w:val="EndnoteReference"/>
        </w:rPr>
        <w:endnoteRef/>
      </w:r>
      <w:r>
        <w:t xml:space="preserve"> </w:t>
      </w:r>
      <w:r>
        <w:rPr>
          <w:sz w:val="20"/>
        </w:rPr>
        <w:t>Ryan P</w:t>
      </w:r>
      <w:r w:rsidRPr="00414F1C">
        <w:rPr>
          <w:sz w:val="20"/>
        </w:rPr>
        <w:t>, Wager</w:t>
      </w:r>
      <w:r>
        <w:rPr>
          <w:sz w:val="20"/>
        </w:rPr>
        <w:t xml:space="preserve"> K, </w:t>
      </w:r>
      <w:proofErr w:type="spellStart"/>
      <w:r>
        <w:rPr>
          <w:sz w:val="20"/>
        </w:rPr>
        <w:t>Teuber</w:t>
      </w:r>
      <w:proofErr w:type="spellEnd"/>
      <w:r>
        <w:rPr>
          <w:sz w:val="20"/>
        </w:rPr>
        <w:t xml:space="preserve"> S, </w:t>
      </w:r>
      <w:proofErr w:type="spellStart"/>
      <w:r>
        <w:rPr>
          <w:sz w:val="20"/>
        </w:rPr>
        <w:t>Backes-Gellner</w:t>
      </w:r>
      <w:proofErr w:type="spellEnd"/>
      <w:r>
        <w:rPr>
          <w:sz w:val="20"/>
        </w:rPr>
        <w:t xml:space="preserve"> U</w:t>
      </w:r>
      <w:r w:rsidRPr="00414F1C">
        <w:rPr>
          <w:sz w:val="20"/>
        </w:rPr>
        <w:t xml:space="preserve">, </w:t>
      </w:r>
      <w:r>
        <w:rPr>
          <w:sz w:val="20"/>
        </w:rPr>
        <w:t>(</w:t>
      </w:r>
      <w:r w:rsidRPr="00414F1C">
        <w:rPr>
          <w:sz w:val="20"/>
        </w:rPr>
        <w:t>2010</w:t>
      </w:r>
      <w:r>
        <w:rPr>
          <w:sz w:val="20"/>
        </w:rPr>
        <w:t>)</w:t>
      </w:r>
      <w:r w:rsidRPr="00414F1C">
        <w:rPr>
          <w:sz w:val="20"/>
        </w:rPr>
        <w:t>, Corporate ownership and initial training in Britain,</w:t>
      </w:r>
      <w:r>
        <w:rPr>
          <w:sz w:val="20"/>
        </w:rPr>
        <w:t xml:space="preserve"> </w:t>
      </w:r>
      <w:r w:rsidRPr="00414F1C">
        <w:rPr>
          <w:sz w:val="20"/>
        </w:rPr>
        <w:t>Germany and Switzerland, Research Paper No. 99, Centre on Skills, Knowledge and Organisational Performance</w:t>
      </w:r>
      <w:r>
        <w:rPr>
          <w:sz w:val="20"/>
        </w:rPr>
        <w:t xml:space="preserve"> </w:t>
      </w:r>
      <w:r w:rsidRPr="00414F1C">
        <w:rPr>
          <w:sz w:val="20"/>
        </w:rPr>
        <w:t>(SKOPE), Department of Education, University of Oxford, Oxford/School of Social Sciences, Cardiff University,</w:t>
      </w:r>
      <w:r>
        <w:rPr>
          <w:sz w:val="20"/>
        </w:rPr>
        <w:t xml:space="preserve"> </w:t>
      </w:r>
      <w:r w:rsidRPr="00414F1C">
        <w:rPr>
          <w:sz w:val="20"/>
        </w:rPr>
        <w:t>Cardiff, UK</w:t>
      </w:r>
    </w:p>
  </w:endnote>
  <w:endnote w:id="3">
    <w:p w:rsidR="00AD33AC" w:rsidRDefault="00AD33AC" w:rsidP="00A5279F">
      <w:pPr>
        <w:pStyle w:val="EndnoteText"/>
      </w:pPr>
      <w:r>
        <w:rPr>
          <w:rStyle w:val="EndnoteReference"/>
        </w:rPr>
        <w:endnoteRef/>
      </w:r>
      <w:r>
        <w:t xml:space="preserve"> </w:t>
      </w:r>
      <w:r>
        <w:rPr>
          <w:sz w:val="20"/>
        </w:rPr>
        <w:t>Payne J</w:t>
      </w:r>
      <w:r w:rsidRPr="00A5279F">
        <w:rPr>
          <w:sz w:val="20"/>
        </w:rPr>
        <w:t xml:space="preserve">, </w:t>
      </w:r>
      <w:r>
        <w:rPr>
          <w:sz w:val="20"/>
        </w:rPr>
        <w:t>(</w:t>
      </w:r>
      <w:r w:rsidRPr="00A5279F">
        <w:rPr>
          <w:sz w:val="20"/>
        </w:rPr>
        <w:t>2008</w:t>
      </w:r>
      <w:r>
        <w:rPr>
          <w:sz w:val="20"/>
        </w:rPr>
        <w:t>)</w:t>
      </w:r>
      <w:r w:rsidRPr="00A5279F">
        <w:rPr>
          <w:sz w:val="20"/>
        </w:rPr>
        <w:t>, ‘Sector skills councils and employer engagement – delivering the “employer-led” skills agenda in</w:t>
      </w:r>
      <w:r>
        <w:rPr>
          <w:sz w:val="20"/>
        </w:rPr>
        <w:t xml:space="preserve"> </w:t>
      </w:r>
      <w:r w:rsidRPr="00A5279F">
        <w:rPr>
          <w:sz w:val="20"/>
        </w:rPr>
        <w:t xml:space="preserve">England’, </w:t>
      </w:r>
      <w:r w:rsidRPr="004C28F3">
        <w:rPr>
          <w:i/>
          <w:sz w:val="20"/>
        </w:rPr>
        <w:t>Journal of Education and Work</w:t>
      </w:r>
      <w:r>
        <w:rPr>
          <w:i/>
          <w:sz w:val="20"/>
        </w:rPr>
        <w:t>,</w:t>
      </w:r>
      <w:r w:rsidRPr="00A5279F">
        <w:rPr>
          <w:sz w:val="20"/>
        </w:rPr>
        <w:t xml:space="preserve"> 21(2), 93–113</w:t>
      </w:r>
      <w:r>
        <w:rPr>
          <w:sz w:val="20"/>
        </w:rPr>
        <w:t xml:space="preserve">, </w:t>
      </w:r>
      <w:hyperlink r:id="rId2" w:history="1">
        <w:r w:rsidRPr="00F2498A">
          <w:rPr>
            <w:rStyle w:val="Hyperlink"/>
            <w:sz w:val="20"/>
          </w:rPr>
          <w:t>http://www.tandfonline.com/doi/abs/10.1080/13639080802090260</w:t>
        </w:r>
      </w:hyperlink>
      <w:r>
        <w:rPr>
          <w:sz w:val="20"/>
        </w:rPr>
        <w:t xml:space="preserve"> </w:t>
      </w:r>
    </w:p>
  </w:endnote>
  <w:endnote w:id="4">
    <w:p w:rsidR="00AD33AC" w:rsidRDefault="00AD33AC">
      <w:pPr>
        <w:pStyle w:val="EndnoteText"/>
      </w:pPr>
      <w:r>
        <w:rPr>
          <w:rStyle w:val="EndnoteReference"/>
        </w:rPr>
        <w:endnoteRef/>
      </w:r>
      <w:r>
        <w:t xml:space="preserve"> </w:t>
      </w:r>
      <w:r w:rsidRPr="00151A61">
        <w:rPr>
          <w:sz w:val="20"/>
        </w:rPr>
        <w:t xml:space="preserve">UKCES (2012) Growth and Innovation Fund, </w:t>
      </w:r>
      <w:r>
        <w:rPr>
          <w:sz w:val="20"/>
        </w:rPr>
        <w:t xml:space="preserve">UK Commission for Employment and Skills, </w:t>
      </w:r>
      <w:proofErr w:type="spellStart"/>
      <w:r>
        <w:rPr>
          <w:sz w:val="20"/>
        </w:rPr>
        <w:t>Wath</w:t>
      </w:r>
      <w:proofErr w:type="spellEnd"/>
      <w:r>
        <w:rPr>
          <w:sz w:val="20"/>
        </w:rPr>
        <w:t>-upon-</w:t>
      </w:r>
      <w:proofErr w:type="spellStart"/>
      <w:r>
        <w:rPr>
          <w:sz w:val="20"/>
        </w:rPr>
        <w:t>Dearne</w:t>
      </w:r>
      <w:proofErr w:type="spellEnd"/>
      <w:r>
        <w:rPr>
          <w:sz w:val="20"/>
        </w:rPr>
        <w:t xml:space="preserve">, UK, </w:t>
      </w:r>
      <w:hyperlink r:id="rId3" w:history="1">
        <w:r w:rsidRPr="00F2498A">
          <w:rPr>
            <w:rStyle w:val="Hyperlink"/>
            <w:sz w:val="20"/>
          </w:rPr>
          <w:t>http://www.ukces.org.uk/ourwork/investment/growthinnovationfund</w:t>
        </w:r>
      </w:hyperlink>
      <w:r>
        <w:rPr>
          <w:sz w:val="20"/>
        </w:rPr>
        <w:t xml:space="preserve"> </w:t>
      </w:r>
    </w:p>
  </w:endnote>
  <w:endnote w:id="5">
    <w:p w:rsidR="00AD33AC" w:rsidRDefault="00AD33AC" w:rsidP="004C28F3">
      <w:pPr>
        <w:pStyle w:val="EndnoteText"/>
      </w:pPr>
      <w:r>
        <w:rPr>
          <w:rStyle w:val="EndnoteReference"/>
        </w:rPr>
        <w:endnoteRef/>
      </w:r>
      <w:r>
        <w:t xml:space="preserve"> </w:t>
      </w:r>
      <w:r>
        <w:rPr>
          <w:sz w:val="20"/>
        </w:rPr>
        <w:t>Forde C, Mackenzie R, Robinson A</w:t>
      </w:r>
      <w:r w:rsidRPr="004C28F3">
        <w:rPr>
          <w:sz w:val="20"/>
        </w:rPr>
        <w:t xml:space="preserve">, </w:t>
      </w:r>
      <w:r>
        <w:rPr>
          <w:sz w:val="20"/>
        </w:rPr>
        <w:t>(</w:t>
      </w:r>
      <w:r w:rsidRPr="004C28F3">
        <w:rPr>
          <w:sz w:val="20"/>
        </w:rPr>
        <w:t>2008</w:t>
      </w:r>
      <w:r>
        <w:rPr>
          <w:sz w:val="20"/>
        </w:rPr>
        <w:t>)</w:t>
      </w:r>
      <w:r w:rsidRPr="004C28F3">
        <w:rPr>
          <w:sz w:val="20"/>
        </w:rPr>
        <w:t>, ‘Firm foundations? Contingent labour and employers’ provision of</w:t>
      </w:r>
      <w:r>
        <w:rPr>
          <w:sz w:val="20"/>
        </w:rPr>
        <w:t xml:space="preserve"> </w:t>
      </w:r>
      <w:r w:rsidRPr="004C28F3">
        <w:rPr>
          <w:sz w:val="20"/>
        </w:rPr>
        <w:t xml:space="preserve">training in the UK construction sector’, </w:t>
      </w:r>
      <w:r w:rsidRPr="004C28F3">
        <w:rPr>
          <w:i/>
          <w:sz w:val="20"/>
        </w:rPr>
        <w:t>Industrial Relations Journal</w:t>
      </w:r>
      <w:r>
        <w:rPr>
          <w:i/>
          <w:sz w:val="20"/>
        </w:rPr>
        <w:t>,</w:t>
      </w:r>
      <w:r w:rsidRPr="004C28F3">
        <w:rPr>
          <w:sz w:val="20"/>
        </w:rPr>
        <w:t xml:space="preserve"> 39(5), 370–391</w:t>
      </w:r>
    </w:p>
  </w:endnote>
  <w:endnote w:id="6">
    <w:p w:rsidR="00AD33AC" w:rsidRDefault="00AD33AC">
      <w:pPr>
        <w:pStyle w:val="EndnoteText"/>
      </w:pPr>
      <w:r>
        <w:rPr>
          <w:rStyle w:val="EndnoteReference"/>
        </w:rPr>
        <w:endnoteRef/>
      </w:r>
      <w:r>
        <w:t xml:space="preserve"> </w:t>
      </w:r>
      <w:r w:rsidRPr="008A0B8B">
        <w:rPr>
          <w:sz w:val="20"/>
        </w:rPr>
        <w:t>BSI (2012), PAS 2030:2012 Improving the energy efficiency of existing buildings- Specification for installation process, process management and service provision, British Standards Institution,</w:t>
      </w:r>
      <w:r>
        <w:t xml:space="preserve"> </w:t>
      </w:r>
      <w:hyperlink r:id="rId4" w:history="1">
        <w:r w:rsidRPr="001F556D">
          <w:rPr>
            <w:rStyle w:val="Hyperlink"/>
            <w:sz w:val="20"/>
          </w:rPr>
          <w:t>http://shop.bsigroup.com/en/ProductDetail/?pid=000000000030248249</w:t>
        </w:r>
      </w:hyperlink>
      <w:r>
        <w:t xml:space="preserve"> </w:t>
      </w:r>
    </w:p>
  </w:endnote>
  <w:endnote w:id="7">
    <w:p w:rsidR="00AD33AC" w:rsidRDefault="00AD33AC">
      <w:pPr>
        <w:pStyle w:val="EndnoteText"/>
      </w:pPr>
      <w:r>
        <w:rPr>
          <w:rStyle w:val="EndnoteReference"/>
        </w:rPr>
        <w:endnoteRef/>
      </w:r>
      <w:r>
        <w:t xml:space="preserve"> </w:t>
      </w:r>
      <w:r w:rsidRPr="003C7CEE">
        <w:rPr>
          <w:sz w:val="20"/>
        </w:rPr>
        <w:t>DECC (2012), How the Green Deal will reflect the in-situ performance of energy efficiency measures</w:t>
      </w:r>
      <w:r>
        <w:rPr>
          <w:sz w:val="20"/>
        </w:rPr>
        <w:t xml:space="preserve">, Department of Energy and Climate Change, London, </w:t>
      </w:r>
      <w:hyperlink r:id="rId5" w:history="1">
        <w:r w:rsidRPr="002B4456">
          <w:rPr>
            <w:rStyle w:val="Hyperlink"/>
            <w:sz w:val="20"/>
          </w:rPr>
          <w:t>http://www.decc.gov.uk/assets/decc/11/tackling-climate-change/green-deal/5505-how-the-green-deal-will-reflect-the-insitu-perfor.pdf</w:t>
        </w:r>
      </w:hyperlink>
      <w:r>
        <w:rPr>
          <w:sz w:val="20"/>
        </w:rPr>
        <w:t xml:space="preserve"> </w:t>
      </w:r>
    </w:p>
  </w:endnote>
  <w:endnote w:id="8">
    <w:p w:rsidR="00AD33AC" w:rsidRDefault="00AD33AC" w:rsidP="00AE7CC0">
      <w:pPr>
        <w:pStyle w:val="EndnoteText"/>
      </w:pPr>
      <w:r>
        <w:rPr>
          <w:rStyle w:val="EndnoteReference"/>
        </w:rPr>
        <w:endnoteRef/>
      </w:r>
      <w:r>
        <w:t xml:space="preserve"> </w:t>
      </w:r>
      <w:r>
        <w:rPr>
          <w:sz w:val="20"/>
        </w:rPr>
        <w:t xml:space="preserve">Esteban M, Leary D, Zhang Q, </w:t>
      </w:r>
      <w:proofErr w:type="spellStart"/>
      <w:r>
        <w:rPr>
          <w:sz w:val="20"/>
        </w:rPr>
        <w:t>Utama</w:t>
      </w:r>
      <w:proofErr w:type="spellEnd"/>
      <w:r>
        <w:rPr>
          <w:sz w:val="20"/>
        </w:rPr>
        <w:t xml:space="preserve"> A, </w:t>
      </w:r>
      <w:proofErr w:type="spellStart"/>
      <w:r>
        <w:rPr>
          <w:sz w:val="20"/>
        </w:rPr>
        <w:t>Tezuka</w:t>
      </w:r>
      <w:proofErr w:type="spellEnd"/>
      <w:r>
        <w:rPr>
          <w:sz w:val="20"/>
        </w:rPr>
        <w:t xml:space="preserve"> T, Ishihara KN</w:t>
      </w:r>
      <w:r w:rsidRPr="00AE7CC0">
        <w:rPr>
          <w:sz w:val="20"/>
        </w:rPr>
        <w:t xml:space="preserve">, </w:t>
      </w:r>
      <w:r>
        <w:rPr>
          <w:sz w:val="20"/>
        </w:rPr>
        <w:t>(</w:t>
      </w:r>
      <w:r w:rsidRPr="00AE7CC0">
        <w:rPr>
          <w:sz w:val="20"/>
        </w:rPr>
        <w:t>2011</w:t>
      </w:r>
      <w:r>
        <w:rPr>
          <w:sz w:val="20"/>
        </w:rPr>
        <w:t>)</w:t>
      </w:r>
      <w:r w:rsidRPr="00AE7CC0">
        <w:rPr>
          <w:sz w:val="20"/>
        </w:rPr>
        <w:t>, ‘Job retention in the British offshore</w:t>
      </w:r>
      <w:r>
        <w:rPr>
          <w:sz w:val="20"/>
        </w:rPr>
        <w:t xml:space="preserve"> </w:t>
      </w:r>
      <w:r w:rsidRPr="00AE7CC0">
        <w:rPr>
          <w:sz w:val="20"/>
        </w:rPr>
        <w:t xml:space="preserve">sector through greening of the North Sea energy industry’, </w:t>
      </w:r>
      <w:r w:rsidRPr="00AE7CC0">
        <w:rPr>
          <w:i/>
          <w:sz w:val="20"/>
        </w:rPr>
        <w:t>Energy Policy</w:t>
      </w:r>
      <w:r>
        <w:rPr>
          <w:i/>
          <w:sz w:val="20"/>
        </w:rPr>
        <w:t>,</w:t>
      </w:r>
      <w:r w:rsidRPr="00AE7CC0">
        <w:rPr>
          <w:sz w:val="20"/>
        </w:rPr>
        <w:t xml:space="preserve"> 39(3), 1543–1551</w:t>
      </w:r>
    </w:p>
  </w:endnote>
  <w:endnote w:id="9">
    <w:p w:rsidR="00AD33AC" w:rsidRDefault="00AD33AC" w:rsidP="00592CB3">
      <w:pPr>
        <w:pStyle w:val="EndnoteText"/>
      </w:pPr>
      <w:r>
        <w:rPr>
          <w:rStyle w:val="EndnoteReference"/>
        </w:rPr>
        <w:endnoteRef/>
      </w:r>
      <w:r>
        <w:t xml:space="preserve"> </w:t>
      </w:r>
      <w:proofErr w:type="spellStart"/>
      <w:r w:rsidRPr="00592CB3">
        <w:rPr>
          <w:sz w:val="20"/>
        </w:rPr>
        <w:t>Renewables</w:t>
      </w:r>
      <w:proofErr w:type="spellEnd"/>
      <w:r w:rsidRPr="00592CB3">
        <w:rPr>
          <w:sz w:val="20"/>
        </w:rPr>
        <w:t xml:space="preserve"> UK (2012) Press Releases Low-Carbon Industries unite to call for swift progress on Energy Bill</w:t>
      </w:r>
      <w:r>
        <w:rPr>
          <w:sz w:val="20"/>
        </w:rPr>
        <w:t>,</w:t>
      </w:r>
      <w:r>
        <w:t xml:space="preserve"> </w:t>
      </w:r>
      <w:hyperlink r:id="rId6" w:history="1">
        <w:r w:rsidRPr="002B4456">
          <w:rPr>
            <w:rStyle w:val="Hyperlink"/>
            <w:sz w:val="20"/>
          </w:rPr>
          <w:t>http://www.renewableuk.com/en/news/press-releases.cfm/2012-11-05-low-carbon-industries-unite-to-call-for-swift-progress-on-energy-bill</w:t>
        </w:r>
      </w:hyperlink>
      <w:r>
        <w:rPr>
          <w:sz w:val="20"/>
        </w:rPr>
        <w:t xml:space="preserve"> </w:t>
      </w:r>
    </w:p>
  </w:endnote>
  <w:endnote w:id="10">
    <w:p w:rsidR="00AD33AC" w:rsidRDefault="00AD33AC">
      <w:pPr>
        <w:pStyle w:val="EndnoteText"/>
      </w:pPr>
      <w:r>
        <w:rPr>
          <w:rStyle w:val="EndnoteReference"/>
        </w:rPr>
        <w:endnoteRef/>
      </w:r>
      <w:r>
        <w:t xml:space="preserve"> </w:t>
      </w:r>
      <w:r w:rsidRPr="004D45A8">
        <w:rPr>
          <w:sz w:val="20"/>
        </w:rPr>
        <w:t>HSE (2012) Risk of carbon monoxide release during the storage of wood pellets –</w:t>
      </w:r>
      <w:r>
        <w:rPr>
          <w:sz w:val="20"/>
        </w:rPr>
        <w:t xml:space="preserve"> HSE </w:t>
      </w:r>
      <w:r w:rsidRPr="004D45A8">
        <w:rPr>
          <w:sz w:val="20"/>
        </w:rPr>
        <w:t>Safety Notice</w:t>
      </w:r>
      <w:r>
        <w:rPr>
          <w:sz w:val="20"/>
        </w:rPr>
        <w:t xml:space="preserve"> </w:t>
      </w:r>
      <w:r w:rsidRPr="00AE7CC0">
        <w:rPr>
          <w:sz w:val="20"/>
        </w:rPr>
        <w:t>OPSTD 3-2012</w:t>
      </w:r>
      <w:r w:rsidRPr="004D45A8">
        <w:rPr>
          <w:sz w:val="20"/>
        </w:rPr>
        <w:t xml:space="preserve">, Health and Safety Executive, </w:t>
      </w:r>
      <w:hyperlink r:id="rId7" w:history="1">
        <w:r w:rsidRPr="004D45A8">
          <w:rPr>
            <w:rStyle w:val="Hyperlink"/>
            <w:sz w:val="20"/>
          </w:rPr>
          <w:t>http://www.hse.gov.uk/safetybulletins/co-wood-pellets.htm</w:t>
        </w:r>
      </w:hyperlink>
      <w:r>
        <w:rPr>
          <w:sz w:val="20"/>
        </w:rPr>
        <w:t xml:space="preserve"> </w:t>
      </w:r>
    </w:p>
  </w:endnote>
  <w:endnote w:id="11">
    <w:p w:rsidR="00AD33AC" w:rsidRDefault="00AD33AC">
      <w:pPr>
        <w:pStyle w:val="EndnoteText"/>
      </w:pPr>
      <w:r>
        <w:rPr>
          <w:rStyle w:val="EndnoteReference"/>
        </w:rPr>
        <w:endnoteRef/>
      </w:r>
      <w:r>
        <w:t xml:space="preserve"> </w:t>
      </w:r>
      <w:r w:rsidRPr="00AE5CEC">
        <w:rPr>
          <w:sz w:val="20"/>
        </w:rPr>
        <w:t>CITB, 2011, Nuclear New Build Employment Scenarios, CITB Construction Skills, Kings Lynn, UK</w:t>
      </w:r>
      <w:r>
        <w:rPr>
          <w:sz w:val="20"/>
        </w:rPr>
        <w:t xml:space="preserve">, </w:t>
      </w:r>
      <w:hyperlink r:id="rId8" w:history="1">
        <w:r w:rsidRPr="00F2498A">
          <w:rPr>
            <w:rStyle w:val="Hyperlink"/>
            <w:sz w:val="20"/>
          </w:rPr>
          <w:t>https://www.cskillsdirect.org/Nuclear_Report_2011.pdf</w:t>
        </w:r>
      </w:hyperlink>
      <w:r>
        <w:rPr>
          <w:sz w:val="20"/>
        </w:rPr>
        <w:t xml:space="preserve"> </w:t>
      </w:r>
    </w:p>
  </w:endnote>
  <w:endnote w:id="12">
    <w:p w:rsidR="00AD33AC" w:rsidRPr="00FF142D" w:rsidRDefault="00AD33AC">
      <w:pPr>
        <w:pStyle w:val="EndnoteText"/>
        <w:rPr>
          <w:sz w:val="20"/>
        </w:rPr>
      </w:pPr>
      <w:r>
        <w:rPr>
          <w:rStyle w:val="EndnoteReference"/>
        </w:rPr>
        <w:endnoteRef/>
      </w:r>
      <w:r>
        <w:t xml:space="preserve"> </w:t>
      </w:r>
      <w:r w:rsidRPr="00FF142D">
        <w:rPr>
          <w:sz w:val="20"/>
        </w:rPr>
        <w:t>LCICG (2012)</w:t>
      </w:r>
      <w:r>
        <w:rPr>
          <w:sz w:val="20"/>
        </w:rPr>
        <w:t>,</w:t>
      </w:r>
      <w:r w:rsidRPr="00FF142D">
        <w:rPr>
          <w:sz w:val="20"/>
        </w:rPr>
        <w:t xml:space="preserve"> </w:t>
      </w:r>
      <w:r>
        <w:rPr>
          <w:sz w:val="20"/>
        </w:rPr>
        <w:t xml:space="preserve">Technology Innovation Needs Assessment (TINA) – Domestic Buildings Summary Report, Low Carbon Innovation Coordination Group, </w:t>
      </w:r>
      <w:hyperlink r:id="rId9" w:history="1">
        <w:r w:rsidRPr="00104A58">
          <w:rPr>
            <w:rStyle w:val="Hyperlink"/>
            <w:sz w:val="20"/>
          </w:rPr>
          <w:t>http://www.lowcarboninnovation.co.uk/working_together/technology_focus_areas/domestic_buildings/</w:t>
        </w:r>
      </w:hyperlink>
    </w:p>
  </w:endnote>
  <w:endnote w:id="13">
    <w:p w:rsidR="00AD33AC" w:rsidRDefault="00AD33AC" w:rsidP="00D27A6B">
      <w:pPr>
        <w:pStyle w:val="EndnoteText"/>
      </w:pPr>
      <w:r>
        <w:rPr>
          <w:rStyle w:val="EndnoteReference"/>
        </w:rPr>
        <w:endnoteRef/>
      </w:r>
      <w:r>
        <w:t xml:space="preserve"> </w:t>
      </w:r>
      <w:r>
        <w:rPr>
          <w:sz w:val="20"/>
        </w:rPr>
        <w:t>Ruiz Y</w:t>
      </w:r>
      <w:r w:rsidRPr="00D27A6B">
        <w:rPr>
          <w:sz w:val="20"/>
        </w:rPr>
        <w:t>, 2004, ‘Skills shortages in skilled construction and metal trade occupations’, Labour Market Trends 112(3)</w:t>
      </w:r>
      <w:r>
        <w:rPr>
          <w:sz w:val="20"/>
        </w:rPr>
        <w:t xml:space="preserve"> </w:t>
      </w:r>
      <w:r w:rsidRPr="00D27A6B">
        <w:rPr>
          <w:sz w:val="20"/>
        </w:rPr>
        <w:t>103–112,</w:t>
      </w:r>
      <w:r>
        <w:rPr>
          <w:sz w:val="20"/>
        </w:rPr>
        <w:t xml:space="preserve"> </w:t>
      </w:r>
      <w:hyperlink r:id="rId10" w:history="1">
        <w:r w:rsidRPr="00F2498A">
          <w:rPr>
            <w:rStyle w:val="Hyperlink"/>
            <w:sz w:val="20"/>
          </w:rPr>
          <w:t>http://ons.gov.uk/ons/rel/lms/labour-market-trends--discontinued-/volume-112--no--3/skills-shortages-in-skilled-construction-and-metal-trade-occupations.pdf</w:t>
        </w:r>
      </w:hyperlink>
      <w:r>
        <w:rPr>
          <w:sz w:val="20"/>
        </w:rPr>
        <w:t xml:space="preserve"> </w:t>
      </w:r>
    </w:p>
  </w:endnote>
  <w:endnote w:id="14">
    <w:p w:rsidR="00AD33AC" w:rsidRDefault="00AD33AC">
      <w:pPr>
        <w:pStyle w:val="EndnoteText"/>
      </w:pPr>
      <w:r>
        <w:rPr>
          <w:rStyle w:val="EndnoteReference"/>
        </w:rPr>
        <w:endnoteRef/>
      </w:r>
      <w:r>
        <w:t xml:space="preserve"> </w:t>
      </w:r>
      <w:r w:rsidRPr="00772D1F">
        <w:rPr>
          <w:sz w:val="20"/>
        </w:rPr>
        <w:t xml:space="preserve">Lane L, Power A, (2010), Housing Futures: our homes and communities, Report for the Federation of Master Builders, London, </w:t>
      </w:r>
      <w:hyperlink r:id="rId11" w:history="1">
        <w:r w:rsidRPr="002B4456">
          <w:rPr>
            <w:rStyle w:val="Hyperlink"/>
            <w:sz w:val="20"/>
          </w:rPr>
          <w:t>http://eprints.lse.ac.uk/35715/</w:t>
        </w:r>
      </w:hyperlink>
      <w:r>
        <w:rPr>
          <w:sz w:val="20"/>
        </w:rPr>
        <w:t xml:space="preserve"> </w:t>
      </w:r>
    </w:p>
  </w:endnote>
  <w:endnote w:id="15">
    <w:p w:rsidR="00AD33AC" w:rsidRDefault="00AD33AC">
      <w:pPr>
        <w:pStyle w:val="EndnoteText"/>
      </w:pPr>
      <w:r>
        <w:rPr>
          <w:rStyle w:val="EndnoteReference"/>
        </w:rPr>
        <w:endnoteRef/>
      </w:r>
      <w:r>
        <w:t xml:space="preserve"> </w:t>
      </w:r>
      <w:r w:rsidRPr="009D0811">
        <w:rPr>
          <w:sz w:val="20"/>
        </w:rPr>
        <w:t>HM Government (2008) Climate Change Act 2008,</w:t>
      </w:r>
      <w:r>
        <w:t xml:space="preserve"> </w:t>
      </w:r>
      <w:hyperlink r:id="rId12" w:history="1">
        <w:r w:rsidRPr="0020639F">
          <w:rPr>
            <w:rStyle w:val="Hyperlink"/>
            <w:sz w:val="20"/>
          </w:rPr>
          <w:t>http://www.decc.gov.uk/en/content/cms/legislation/cc_act_08/cc_act_08.aspx</w:t>
        </w:r>
      </w:hyperlink>
      <w:r>
        <w:rPr>
          <w:sz w:val="20"/>
        </w:rPr>
        <w:t xml:space="preserve"> </w:t>
      </w:r>
    </w:p>
  </w:endnote>
  <w:endnote w:id="16">
    <w:p w:rsidR="00AD33AC" w:rsidRDefault="00AD33AC">
      <w:pPr>
        <w:pStyle w:val="EndnoteText"/>
      </w:pPr>
      <w:r>
        <w:rPr>
          <w:rStyle w:val="EndnoteReference"/>
        </w:rPr>
        <w:endnoteRef/>
      </w:r>
      <w:r>
        <w:t xml:space="preserve"> </w:t>
      </w:r>
      <w:r w:rsidRPr="00C340DE">
        <w:rPr>
          <w:sz w:val="20"/>
        </w:rPr>
        <w:t>National Grid (2012),</w:t>
      </w:r>
      <w:r>
        <w:rPr>
          <w:sz w:val="20"/>
        </w:rPr>
        <w:t xml:space="preserve"> Electricity Alliances and Infrastructure projects: </w:t>
      </w:r>
      <w:hyperlink r:id="rId13" w:history="1">
        <w:r w:rsidRPr="0020639F">
          <w:rPr>
            <w:rStyle w:val="Hyperlink"/>
            <w:sz w:val="20"/>
          </w:rPr>
          <w:t>http://www.nationalgrid.com/uk/Electricity/projects/</w:t>
        </w:r>
      </w:hyperlink>
      <w:r>
        <w:rPr>
          <w:sz w:val="20"/>
        </w:rPr>
        <w:t xml:space="preserve"> , accessed 17 November 2012.</w:t>
      </w:r>
    </w:p>
  </w:endnote>
  <w:endnote w:id="17">
    <w:p w:rsidR="00AD33AC" w:rsidRDefault="00AD33AC">
      <w:pPr>
        <w:pStyle w:val="EndnoteText"/>
      </w:pPr>
      <w:r>
        <w:rPr>
          <w:rStyle w:val="EndnoteReference"/>
        </w:rPr>
        <w:endnoteRef/>
      </w:r>
      <w:r>
        <w:t xml:space="preserve"> </w:t>
      </w:r>
      <w:r w:rsidRPr="00D17F15">
        <w:rPr>
          <w:sz w:val="20"/>
        </w:rPr>
        <w:t xml:space="preserve">Infrastructure UK (2011), National Infrastructure Plan 2011, HM Treasury, London, </w:t>
      </w:r>
      <w:hyperlink r:id="rId14" w:history="1">
        <w:r w:rsidRPr="0020639F">
          <w:rPr>
            <w:rStyle w:val="Hyperlink"/>
            <w:sz w:val="20"/>
          </w:rPr>
          <w:t>http://cdn.hm-treasury.gov.uk/national_infrastructure_plan291111.pdf</w:t>
        </w:r>
      </w:hyperlink>
      <w:r>
        <w:rPr>
          <w:sz w:val="20"/>
        </w:rPr>
        <w:t xml:space="preserve"> </w:t>
      </w:r>
    </w:p>
  </w:endnote>
  <w:endnote w:id="18">
    <w:p w:rsidR="00AD33AC" w:rsidRDefault="00AD33AC">
      <w:pPr>
        <w:pStyle w:val="EndnoteText"/>
      </w:pPr>
      <w:r>
        <w:rPr>
          <w:rStyle w:val="EndnoteReference"/>
        </w:rPr>
        <w:endnoteRef/>
      </w:r>
      <w:r>
        <w:t xml:space="preserve"> </w:t>
      </w:r>
      <w:proofErr w:type="spellStart"/>
      <w:r w:rsidRPr="00DC0FD2">
        <w:rPr>
          <w:sz w:val="20"/>
        </w:rPr>
        <w:t>Hasluck</w:t>
      </w:r>
      <w:proofErr w:type="spellEnd"/>
      <w:r w:rsidRPr="00DC0FD2">
        <w:rPr>
          <w:sz w:val="20"/>
        </w:rPr>
        <w:t xml:space="preserve"> C, </w:t>
      </w:r>
      <w:proofErr w:type="spellStart"/>
      <w:r w:rsidRPr="00DC0FD2">
        <w:rPr>
          <w:sz w:val="20"/>
        </w:rPr>
        <w:t>Bimrose</w:t>
      </w:r>
      <w:proofErr w:type="spellEnd"/>
      <w:r w:rsidRPr="00DC0FD2">
        <w:rPr>
          <w:sz w:val="20"/>
        </w:rPr>
        <w:t xml:space="preserve"> J, Barnes S-A, et al. (2006) Evaluation of Skills Coaching trials and Skills</w:t>
      </w:r>
      <w:r>
        <w:rPr>
          <w:sz w:val="20"/>
        </w:rPr>
        <w:t>:</w:t>
      </w:r>
      <w:r w:rsidRPr="00DC0FD2">
        <w:rPr>
          <w:sz w:val="20"/>
        </w:rPr>
        <w:t xml:space="preserve"> A synthesis of qualitative and quantitative evidence. </w:t>
      </w:r>
      <w:proofErr w:type="gramStart"/>
      <w:r>
        <w:rPr>
          <w:sz w:val="20"/>
        </w:rPr>
        <w:t xml:space="preserve">Department for Work and Pensions, </w:t>
      </w:r>
      <w:r w:rsidRPr="00DC0FD2">
        <w:rPr>
          <w:sz w:val="20"/>
        </w:rPr>
        <w:t>London</w:t>
      </w:r>
      <w:r w:rsidRPr="00DC0FD2">
        <w:t>.</w:t>
      </w:r>
      <w:proofErr w:type="gramEnd"/>
      <w:r>
        <w:t xml:space="preserve"> </w:t>
      </w:r>
      <w:hyperlink r:id="rId15" w:history="1">
        <w:r w:rsidRPr="0038769B">
          <w:rPr>
            <w:rStyle w:val="Hyperlink"/>
            <w:sz w:val="20"/>
          </w:rPr>
          <w:t>http://statistics.dwp.gov.uk/asd/asd5/report_abstracts/rr_abstracts/rra_391.asp</w:t>
        </w:r>
      </w:hyperlink>
      <w:r w:rsidRPr="0038769B">
        <w:rPr>
          <w:sz w:val="20"/>
        </w:rPr>
        <w:t xml:space="preserve"> </w:t>
      </w:r>
    </w:p>
  </w:endnote>
  <w:endnote w:id="19">
    <w:p w:rsidR="00AD33AC" w:rsidRDefault="00AD33AC">
      <w:pPr>
        <w:pStyle w:val="EndnoteText"/>
      </w:pPr>
      <w:r>
        <w:rPr>
          <w:rStyle w:val="EndnoteReference"/>
        </w:rPr>
        <w:endnoteRef/>
      </w:r>
      <w:r>
        <w:t xml:space="preserve"> </w:t>
      </w:r>
      <w:r w:rsidRPr="0067185A">
        <w:rPr>
          <w:sz w:val="20"/>
        </w:rPr>
        <w:t xml:space="preserve">BIS (2012) </w:t>
      </w:r>
      <w:r>
        <w:rPr>
          <w:sz w:val="20"/>
        </w:rPr>
        <w:t xml:space="preserve">National Skills Academies Website: </w:t>
      </w:r>
      <w:hyperlink r:id="rId16" w:history="1">
        <w:r w:rsidRPr="0020639F">
          <w:rPr>
            <w:rStyle w:val="Hyperlink"/>
            <w:sz w:val="20"/>
          </w:rPr>
          <w:t>http://www.bis.gov.uk/policies/further-education-skills/employers/nsa</w:t>
        </w:r>
      </w:hyperlink>
      <w:r>
        <w:rPr>
          <w:sz w:val="20"/>
        </w:rPr>
        <w:t>, accessed 17 November 2012</w:t>
      </w:r>
    </w:p>
  </w:endnote>
  <w:endnote w:id="20">
    <w:p w:rsidR="00AD33AC" w:rsidRDefault="00AD33AC">
      <w:pPr>
        <w:pStyle w:val="EndnoteText"/>
      </w:pPr>
      <w:r>
        <w:rPr>
          <w:rStyle w:val="EndnoteReference"/>
        </w:rPr>
        <w:endnoteRef/>
      </w:r>
      <w:r>
        <w:t xml:space="preserve"> </w:t>
      </w:r>
      <w:r w:rsidRPr="00BC28B9">
        <w:rPr>
          <w:sz w:val="20"/>
        </w:rPr>
        <w:t xml:space="preserve">Asset Skills (2012), Green Deal Skills Alliance Website: </w:t>
      </w:r>
      <w:hyperlink r:id="rId17" w:history="1">
        <w:r w:rsidRPr="00BC28B9">
          <w:rPr>
            <w:rStyle w:val="Hyperlink"/>
            <w:sz w:val="20"/>
          </w:rPr>
          <w:t>http://www.assetskills.org/GreenSkills/GreenDealSkillsAlliance.aspx</w:t>
        </w:r>
      </w:hyperlink>
      <w:r w:rsidRPr="00BC28B9">
        <w:rPr>
          <w:sz w:val="20"/>
        </w:rPr>
        <w:t>, Accessed 17 November 2012</w:t>
      </w:r>
    </w:p>
  </w:endnote>
  <w:endnote w:id="21">
    <w:p w:rsidR="00AD33AC" w:rsidRDefault="00AD33AC">
      <w:pPr>
        <w:pStyle w:val="EndnoteText"/>
      </w:pPr>
      <w:r>
        <w:rPr>
          <w:rStyle w:val="EndnoteReference"/>
        </w:rPr>
        <w:endnoteRef/>
      </w:r>
      <w:r>
        <w:t xml:space="preserve"> </w:t>
      </w:r>
      <w:proofErr w:type="spellStart"/>
      <w:r w:rsidRPr="00312DDD">
        <w:rPr>
          <w:sz w:val="20"/>
        </w:rPr>
        <w:t>Schot</w:t>
      </w:r>
      <w:proofErr w:type="spellEnd"/>
      <w:r w:rsidRPr="00312DDD">
        <w:rPr>
          <w:sz w:val="20"/>
        </w:rPr>
        <w:t xml:space="preserve"> J and </w:t>
      </w:r>
      <w:proofErr w:type="spellStart"/>
      <w:r w:rsidRPr="00312DDD">
        <w:rPr>
          <w:sz w:val="20"/>
        </w:rPr>
        <w:t>Geels</w:t>
      </w:r>
      <w:proofErr w:type="spellEnd"/>
      <w:r w:rsidRPr="00312DDD">
        <w:rPr>
          <w:sz w:val="20"/>
        </w:rPr>
        <w:t xml:space="preserve"> FW (2008)</w:t>
      </w:r>
      <w:r>
        <w:rPr>
          <w:sz w:val="20"/>
        </w:rPr>
        <w:t>,</w:t>
      </w:r>
      <w:r w:rsidRPr="00312DDD">
        <w:rPr>
          <w:sz w:val="20"/>
        </w:rPr>
        <w:t xml:space="preserve"> Strategic niche management and sustainable innovation journeys: theory, findings, research agenda, and policy. </w:t>
      </w:r>
      <w:r w:rsidRPr="00312DDD">
        <w:rPr>
          <w:i/>
          <w:sz w:val="20"/>
        </w:rPr>
        <w:t>Technology Analysis &amp; Strategic Management</w:t>
      </w:r>
      <w:r w:rsidRPr="00312DDD">
        <w:rPr>
          <w:sz w:val="20"/>
        </w:rPr>
        <w:t xml:space="preserve">, 20(5), 537–554, </w:t>
      </w:r>
      <w:hyperlink r:id="rId18" w:history="1">
        <w:r w:rsidRPr="0020639F">
          <w:rPr>
            <w:rStyle w:val="Hyperlink"/>
            <w:sz w:val="20"/>
          </w:rPr>
          <w:t>http://www.ingentaconnect.com/content/routledg/ctas/2008/00000020/00000005/art00002</w:t>
        </w:r>
      </w:hyperlink>
      <w:r>
        <w:rPr>
          <w:sz w:val="20"/>
        </w:rPr>
        <w:t xml:space="preserve"> </w:t>
      </w:r>
    </w:p>
  </w:endnote>
  <w:endnote w:id="22">
    <w:p w:rsidR="00AD33AC" w:rsidRDefault="00AD33AC">
      <w:pPr>
        <w:pStyle w:val="EndnoteText"/>
      </w:pPr>
      <w:r>
        <w:rPr>
          <w:rStyle w:val="EndnoteReference"/>
        </w:rPr>
        <w:endnoteRef/>
      </w:r>
      <w:r>
        <w:t xml:space="preserve"> </w:t>
      </w:r>
      <w:r w:rsidRPr="00D469B2">
        <w:rPr>
          <w:sz w:val="20"/>
        </w:rPr>
        <w:t>ECITB</w:t>
      </w:r>
      <w:r>
        <w:rPr>
          <w:sz w:val="20"/>
        </w:rPr>
        <w:t xml:space="preserve"> (2008), Securing Engineering Construction Skills for the Future, </w:t>
      </w:r>
      <w:hyperlink r:id="rId19" w:history="1">
        <w:r w:rsidRPr="008B5E2A">
          <w:rPr>
            <w:rStyle w:val="Hyperlink"/>
            <w:sz w:val="20"/>
          </w:rPr>
          <w:t>http://www.ecitb.org.uk/custom/ecitb/docManager/documents/Securing_Engineering_Construction_Skills_for_the_Future.pdf</w:t>
        </w:r>
      </w:hyperlink>
      <w:r>
        <w:rPr>
          <w:sz w:val="20"/>
        </w:rPr>
        <w:t xml:space="preserve"> </w:t>
      </w:r>
    </w:p>
  </w:endnote>
  <w:endnote w:id="23">
    <w:p w:rsidR="00AD33AC" w:rsidRDefault="00AD33AC">
      <w:pPr>
        <w:pStyle w:val="EndnoteText"/>
      </w:pPr>
      <w:r>
        <w:rPr>
          <w:rStyle w:val="EndnoteReference"/>
        </w:rPr>
        <w:endnoteRef/>
      </w:r>
      <w:r>
        <w:t xml:space="preserve"> </w:t>
      </w:r>
      <w:r w:rsidRPr="00F211F2">
        <w:rPr>
          <w:sz w:val="20"/>
        </w:rPr>
        <w:t>Drever E, Doyle, M (2012), Survey of Employment by Occupation in the Construction Industry 2011, Construction Skills, Kings Lynn</w:t>
      </w:r>
      <w:r>
        <w:rPr>
          <w:sz w:val="20"/>
        </w:rPr>
        <w:t xml:space="preserve"> UK</w:t>
      </w:r>
      <w:r w:rsidRPr="00F211F2">
        <w:rPr>
          <w:sz w:val="20"/>
        </w:rPr>
        <w:t>,</w:t>
      </w:r>
      <w:r>
        <w:t xml:space="preserve"> </w:t>
      </w:r>
      <w:hyperlink r:id="rId20" w:history="1">
        <w:r w:rsidRPr="0020639F">
          <w:rPr>
            <w:rStyle w:val="Hyperlink"/>
            <w:sz w:val="20"/>
          </w:rPr>
          <w:t>http://www.cskills.org/uploads/Survey%20of%20Employment%20by%20Occupation%202011_tcm17-32805.pdf</w:t>
        </w:r>
      </w:hyperlink>
      <w:r>
        <w:rPr>
          <w:sz w:val="20"/>
        </w:rPr>
        <w:t xml:space="preserve"> </w:t>
      </w:r>
    </w:p>
  </w:endnote>
  <w:endnote w:id="24">
    <w:p w:rsidR="00AD33AC" w:rsidRDefault="00AD33AC">
      <w:pPr>
        <w:pStyle w:val="EndnoteText"/>
      </w:pPr>
      <w:r>
        <w:rPr>
          <w:rStyle w:val="EndnoteReference"/>
        </w:rPr>
        <w:endnoteRef/>
      </w:r>
      <w:r>
        <w:t xml:space="preserve"> </w:t>
      </w:r>
      <w:r w:rsidRPr="00101162">
        <w:rPr>
          <w:sz w:val="20"/>
        </w:rPr>
        <w:t>ECITB (2012) 2012 Update of the Manpower Forecast</w:t>
      </w:r>
      <w:r>
        <w:rPr>
          <w:sz w:val="20"/>
        </w:rPr>
        <w:t xml:space="preserve">, ECITB, </w:t>
      </w:r>
      <w:r w:rsidRPr="00101162">
        <w:rPr>
          <w:sz w:val="20"/>
        </w:rPr>
        <w:t>Kings Langley</w:t>
      </w:r>
      <w:r>
        <w:rPr>
          <w:sz w:val="20"/>
        </w:rPr>
        <w:t xml:space="preserve"> UK,</w:t>
      </w:r>
      <w:r>
        <w:t xml:space="preserve"> </w:t>
      </w:r>
      <w:hyperlink r:id="rId21" w:history="1">
        <w:r w:rsidRPr="00101162">
          <w:rPr>
            <w:rStyle w:val="Hyperlink"/>
            <w:sz w:val="20"/>
          </w:rPr>
          <w:t>http://www.ecitb.org.uk/AboutECITB/EstimatedManpowerForecastModel/</w:t>
        </w:r>
      </w:hyperlink>
      <w:r w:rsidRPr="00101162">
        <w:rPr>
          <w:sz w:val="20"/>
        </w:rPr>
        <w:t xml:space="preserve"> </w:t>
      </w:r>
    </w:p>
  </w:endnote>
  <w:endnote w:id="25">
    <w:p w:rsidR="00AD33AC" w:rsidRDefault="00AD33AC">
      <w:pPr>
        <w:pStyle w:val="EndnoteText"/>
      </w:pPr>
      <w:r>
        <w:rPr>
          <w:rStyle w:val="EndnoteReference"/>
        </w:rPr>
        <w:endnoteRef/>
      </w:r>
      <w:r>
        <w:t xml:space="preserve"> </w:t>
      </w:r>
      <w:r w:rsidRPr="00422865">
        <w:rPr>
          <w:sz w:val="20"/>
        </w:rPr>
        <w:t>DECC (2012),</w:t>
      </w:r>
      <w:r>
        <w:rPr>
          <w:sz w:val="20"/>
        </w:rPr>
        <w:t xml:space="preserve"> The Energy Efficiency Strategy: The Energy Efficiency Opportunity in the UK, Department of Energy and Climate Change, London, </w:t>
      </w:r>
      <w:hyperlink r:id="rId22" w:history="1">
        <w:r w:rsidRPr="00F2498A">
          <w:rPr>
            <w:rStyle w:val="Hyperlink"/>
            <w:sz w:val="20"/>
          </w:rPr>
          <w:t>www.decc.gov.uk/eedo</w:t>
        </w:r>
      </w:hyperlink>
      <w:r>
        <w:rPr>
          <w:sz w:val="20"/>
        </w:rPr>
        <w:t xml:space="preserve"> </w:t>
      </w:r>
    </w:p>
  </w:endnote>
  <w:endnote w:id="26">
    <w:p w:rsidR="00AD33AC" w:rsidRDefault="00AD33AC">
      <w:pPr>
        <w:pStyle w:val="EndnoteText"/>
      </w:pPr>
      <w:r>
        <w:rPr>
          <w:rStyle w:val="EndnoteReference"/>
        </w:rPr>
        <w:endnoteRef/>
      </w:r>
      <w:r>
        <w:t xml:space="preserve"> </w:t>
      </w:r>
      <w:r w:rsidRPr="0045289A">
        <w:rPr>
          <w:sz w:val="20"/>
        </w:rPr>
        <w:t>HM Government</w:t>
      </w:r>
      <w:r>
        <w:rPr>
          <w:sz w:val="20"/>
        </w:rPr>
        <w:t xml:space="preserve"> (2011), Skills for a green economy: A report on the evidence, </w:t>
      </w:r>
      <w:hyperlink r:id="rId23" w:history="1">
        <w:r w:rsidRPr="00D53C55">
          <w:rPr>
            <w:rStyle w:val="Hyperlink"/>
            <w:sz w:val="20"/>
          </w:rPr>
          <w:t>http://www.bis.gov.uk/assets/biscore/further-education-skills/docs/s/11-1315-skills-for-a-green-economy.pdf</w:t>
        </w:r>
      </w:hyperlink>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Arial Bold">
    <w:altName w:val="Franklin Gothic Book"/>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102123"/>
      <w:docPartObj>
        <w:docPartGallery w:val="Page Numbers (Bottom of Page)"/>
        <w:docPartUnique/>
      </w:docPartObj>
    </w:sdtPr>
    <w:sdtEndPr>
      <w:rPr>
        <w:noProof/>
      </w:rPr>
    </w:sdtEndPr>
    <w:sdtContent>
      <w:p w:rsidR="00AD33AC" w:rsidRDefault="00AD33AC">
        <w:pPr>
          <w:pStyle w:val="Footer"/>
          <w:jc w:val="right"/>
        </w:pPr>
        <w:r w:rsidRPr="005B2272">
          <w:rPr>
            <w:sz w:val="20"/>
            <w:szCs w:val="20"/>
          </w:rPr>
          <w:fldChar w:fldCharType="begin"/>
        </w:r>
        <w:r w:rsidRPr="005B2272">
          <w:rPr>
            <w:sz w:val="20"/>
            <w:szCs w:val="20"/>
          </w:rPr>
          <w:instrText xml:space="preserve"> PAGE   \* MERGEFORMAT </w:instrText>
        </w:r>
        <w:r w:rsidRPr="005B2272">
          <w:rPr>
            <w:sz w:val="20"/>
            <w:szCs w:val="20"/>
          </w:rPr>
          <w:fldChar w:fldCharType="separate"/>
        </w:r>
        <w:r w:rsidR="00CF491F">
          <w:rPr>
            <w:noProof/>
            <w:sz w:val="20"/>
            <w:szCs w:val="20"/>
          </w:rPr>
          <w:t>7</w:t>
        </w:r>
        <w:r w:rsidRPr="005B2272">
          <w:rPr>
            <w:noProof/>
            <w:sz w:val="20"/>
            <w:szCs w:val="20"/>
          </w:rPr>
          <w:fldChar w:fldCharType="end"/>
        </w:r>
      </w:p>
    </w:sdtContent>
  </w:sdt>
  <w:p w:rsidR="00AD33AC" w:rsidRDefault="00AD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AC" w:rsidRDefault="00AD33AC" w:rsidP="006E2F3C">
      <w:pPr>
        <w:spacing w:before="0" w:line="240" w:lineRule="auto"/>
      </w:pPr>
      <w:r>
        <w:separator/>
      </w:r>
    </w:p>
  </w:footnote>
  <w:footnote w:type="continuationSeparator" w:id="0">
    <w:p w:rsidR="00AD33AC" w:rsidRDefault="00AD33AC" w:rsidP="006E2F3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E0B0E"/>
    <w:multiLevelType w:val="hybridMultilevel"/>
    <w:tmpl w:val="A19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483644"/>
    <w:multiLevelType w:val="hybridMultilevel"/>
    <w:tmpl w:val="7140F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2D34B3"/>
    <w:multiLevelType w:val="hybridMultilevel"/>
    <w:tmpl w:val="E2DE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3555F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C3F6592"/>
    <w:multiLevelType w:val="hybridMultilevel"/>
    <w:tmpl w:val="B394DF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A53C58"/>
    <w:multiLevelType w:val="hybridMultilevel"/>
    <w:tmpl w:val="8F8201C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07773FC"/>
    <w:multiLevelType w:val="hybridMultilevel"/>
    <w:tmpl w:val="BB960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250C8"/>
    <w:multiLevelType w:val="hybridMultilevel"/>
    <w:tmpl w:val="7A8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C84CE7"/>
    <w:multiLevelType w:val="hybridMultilevel"/>
    <w:tmpl w:val="F3A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B54089"/>
    <w:multiLevelType w:val="hybridMultilevel"/>
    <w:tmpl w:val="2CCE616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6"/>
  </w:num>
  <w:num w:numId="15">
    <w:abstractNumId w:val="13"/>
  </w:num>
  <w:num w:numId="16">
    <w:abstractNumId w:val="19"/>
  </w:num>
  <w:num w:numId="17">
    <w:abstractNumId w:val="15"/>
  </w:num>
  <w:num w:numId="18">
    <w:abstractNumId w:val="12"/>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footnotePr>
    <w:footnote w:id="-1"/>
    <w:footnote w:id="0"/>
  </w:footnotePr>
  <w:endnotePr>
    <w:numFmt w:val="decimal"/>
    <w:endnote w:id="-1"/>
    <w:endnote w:id="0"/>
  </w:endnotePr>
  <w:compat/>
  <w:rsids>
    <w:rsidRoot w:val="00BB7835"/>
    <w:rsid w:val="00013DB1"/>
    <w:rsid w:val="00016C73"/>
    <w:rsid w:val="00040B99"/>
    <w:rsid w:val="000555F0"/>
    <w:rsid w:val="00061FCB"/>
    <w:rsid w:val="0006684B"/>
    <w:rsid w:val="00070261"/>
    <w:rsid w:val="000754D9"/>
    <w:rsid w:val="000974E2"/>
    <w:rsid w:val="000A395C"/>
    <w:rsid w:val="000B2781"/>
    <w:rsid w:val="000D25C6"/>
    <w:rsid w:val="000E37A2"/>
    <w:rsid w:val="000E6D80"/>
    <w:rsid w:val="0010098A"/>
    <w:rsid w:val="00101162"/>
    <w:rsid w:val="0011712B"/>
    <w:rsid w:val="00125812"/>
    <w:rsid w:val="00132D78"/>
    <w:rsid w:val="00145D73"/>
    <w:rsid w:val="00150942"/>
    <w:rsid w:val="00151A61"/>
    <w:rsid w:val="001619B1"/>
    <w:rsid w:val="00184983"/>
    <w:rsid w:val="001A3F72"/>
    <w:rsid w:val="001A56D2"/>
    <w:rsid w:val="001A6C89"/>
    <w:rsid w:val="001C2F45"/>
    <w:rsid w:val="001C7073"/>
    <w:rsid w:val="001D3952"/>
    <w:rsid w:val="001E2EB0"/>
    <w:rsid w:val="001E7100"/>
    <w:rsid w:val="001F556D"/>
    <w:rsid w:val="00204040"/>
    <w:rsid w:val="00205A45"/>
    <w:rsid w:val="0021531A"/>
    <w:rsid w:val="002210C9"/>
    <w:rsid w:val="00231C01"/>
    <w:rsid w:val="00235E30"/>
    <w:rsid w:val="002364DC"/>
    <w:rsid w:val="002462F4"/>
    <w:rsid w:val="00273123"/>
    <w:rsid w:val="00285B77"/>
    <w:rsid w:val="002908BB"/>
    <w:rsid w:val="002A237B"/>
    <w:rsid w:val="002A29F2"/>
    <w:rsid w:val="002B2D8A"/>
    <w:rsid w:val="002B3B25"/>
    <w:rsid w:val="002B41D2"/>
    <w:rsid w:val="002B7F11"/>
    <w:rsid w:val="002C11ED"/>
    <w:rsid w:val="002C425B"/>
    <w:rsid w:val="002E216B"/>
    <w:rsid w:val="002F1683"/>
    <w:rsid w:val="002F5B7B"/>
    <w:rsid w:val="00312DDD"/>
    <w:rsid w:val="0031388F"/>
    <w:rsid w:val="00316AB4"/>
    <w:rsid w:val="00317252"/>
    <w:rsid w:val="003206A4"/>
    <w:rsid w:val="003223CD"/>
    <w:rsid w:val="00327981"/>
    <w:rsid w:val="00330467"/>
    <w:rsid w:val="003400F1"/>
    <w:rsid w:val="00350D70"/>
    <w:rsid w:val="00355EAD"/>
    <w:rsid w:val="00356F66"/>
    <w:rsid w:val="00365A4A"/>
    <w:rsid w:val="00372269"/>
    <w:rsid w:val="0038769B"/>
    <w:rsid w:val="0039235D"/>
    <w:rsid w:val="00393CEB"/>
    <w:rsid w:val="003A3DC5"/>
    <w:rsid w:val="003B127B"/>
    <w:rsid w:val="003B1DE6"/>
    <w:rsid w:val="003B2FCB"/>
    <w:rsid w:val="003B46D4"/>
    <w:rsid w:val="003C7CEE"/>
    <w:rsid w:val="00412754"/>
    <w:rsid w:val="00414F1C"/>
    <w:rsid w:val="00416AA0"/>
    <w:rsid w:val="00422865"/>
    <w:rsid w:val="00425507"/>
    <w:rsid w:val="004306DA"/>
    <w:rsid w:val="004416E4"/>
    <w:rsid w:val="0044535D"/>
    <w:rsid w:val="0045289A"/>
    <w:rsid w:val="00461771"/>
    <w:rsid w:val="00472E91"/>
    <w:rsid w:val="0048293A"/>
    <w:rsid w:val="00482C6A"/>
    <w:rsid w:val="004B25FF"/>
    <w:rsid w:val="004C28F3"/>
    <w:rsid w:val="004C74F7"/>
    <w:rsid w:val="004C7C29"/>
    <w:rsid w:val="004D45A8"/>
    <w:rsid w:val="004E678A"/>
    <w:rsid w:val="004F1463"/>
    <w:rsid w:val="004F3825"/>
    <w:rsid w:val="004F42A5"/>
    <w:rsid w:val="004F477E"/>
    <w:rsid w:val="00514A5B"/>
    <w:rsid w:val="005351A0"/>
    <w:rsid w:val="0056264E"/>
    <w:rsid w:val="005778E0"/>
    <w:rsid w:val="00582580"/>
    <w:rsid w:val="00592CB3"/>
    <w:rsid w:val="005A484F"/>
    <w:rsid w:val="005B0D14"/>
    <w:rsid w:val="005B10FE"/>
    <w:rsid w:val="005B2272"/>
    <w:rsid w:val="005C16AC"/>
    <w:rsid w:val="005C6979"/>
    <w:rsid w:val="005D218F"/>
    <w:rsid w:val="005D6DE5"/>
    <w:rsid w:val="005F5138"/>
    <w:rsid w:val="006019CF"/>
    <w:rsid w:val="00617170"/>
    <w:rsid w:val="006422C8"/>
    <w:rsid w:val="0067185A"/>
    <w:rsid w:val="00676968"/>
    <w:rsid w:val="0067756C"/>
    <w:rsid w:val="006934A0"/>
    <w:rsid w:val="006A0800"/>
    <w:rsid w:val="006D1C9D"/>
    <w:rsid w:val="006D41EE"/>
    <w:rsid w:val="006D4386"/>
    <w:rsid w:val="006E2F3C"/>
    <w:rsid w:val="006F0A02"/>
    <w:rsid w:val="006F163E"/>
    <w:rsid w:val="00704D90"/>
    <w:rsid w:val="00723D76"/>
    <w:rsid w:val="007313EB"/>
    <w:rsid w:val="00741797"/>
    <w:rsid w:val="0074315D"/>
    <w:rsid w:val="00756A5C"/>
    <w:rsid w:val="00765128"/>
    <w:rsid w:val="00772D1F"/>
    <w:rsid w:val="00785A6E"/>
    <w:rsid w:val="00786D25"/>
    <w:rsid w:val="007A00A3"/>
    <w:rsid w:val="007A694A"/>
    <w:rsid w:val="007C3A6B"/>
    <w:rsid w:val="007C4E80"/>
    <w:rsid w:val="007E5321"/>
    <w:rsid w:val="0080480A"/>
    <w:rsid w:val="0081264F"/>
    <w:rsid w:val="00835E91"/>
    <w:rsid w:val="00851787"/>
    <w:rsid w:val="00854763"/>
    <w:rsid w:val="00866458"/>
    <w:rsid w:val="00873D7B"/>
    <w:rsid w:val="00874CE1"/>
    <w:rsid w:val="00880119"/>
    <w:rsid w:val="00883B77"/>
    <w:rsid w:val="00890E90"/>
    <w:rsid w:val="00893612"/>
    <w:rsid w:val="00896DE7"/>
    <w:rsid w:val="008A0B8B"/>
    <w:rsid w:val="008A6350"/>
    <w:rsid w:val="008D4BEE"/>
    <w:rsid w:val="008E5A37"/>
    <w:rsid w:val="008F60BB"/>
    <w:rsid w:val="0091059B"/>
    <w:rsid w:val="00916583"/>
    <w:rsid w:val="00930117"/>
    <w:rsid w:val="00980B44"/>
    <w:rsid w:val="009847E4"/>
    <w:rsid w:val="00991344"/>
    <w:rsid w:val="009A0D68"/>
    <w:rsid w:val="009D0811"/>
    <w:rsid w:val="009E38DC"/>
    <w:rsid w:val="00A05DED"/>
    <w:rsid w:val="00A13310"/>
    <w:rsid w:val="00A2636F"/>
    <w:rsid w:val="00A36CF5"/>
    <w:rsid w:val="00A37B01"/>
    <w:rsid w:val="00A42338"/>
    <w:rsid w:val="00A51A16"/>
    <w:rsid w:val="00A5279F"/>
    <w:rsid w:val="00A52C4F"/>
    <w:rsid w:val="00A56C37"/>
    <w:rsid w:val="00A70781"/>
    <w:rsid w:val="00AC4168"/>
    <w:rsid w:val="00AD1B4C"/>
    <w:rsid w:val="00AD3173"/>
    <w:rsid w:val="00AD33AC"/>
    <w:rsid w:val="00AD7821"/>
    <w:rsid w:val="00AE0C7B"/>
    <w:rsid w:val="00AE408C"/>
    <w:rsid w:val="00AE5C94"/>
    <w:rsid w:val="00AE5CEC"/>
    <w:rsid w:val="00AE7CC0"/>
    <w:rsid w:val="00AF6772"/>
    <w:rsid w:val="00B06BAE"/>
    <w:rsid w:val="00B23E4E"/>
    <w:rsid w:val="00B3772F"/>
    <w:rsid w:val="00B56F12"/>
    <w:rsid w:val="00B73992"/>
    <w:rsid w:val="00B7564E"/>
    <w:rsid w:val="00B93FE6"/>
    <w:rsid w:val="00BA2FD4"/>
    <w:rsid w:val="00BA6215"/>
    <w:rsid w:val="00BB7835"/>
    <w:rsid w:val="00BC28B9"/>
    <w:rsid w:val="00BC60F5"/>
    <w:rsid w:val="00BD1828"/>
    <w:rsid w:val="00BD720A"/>
    <w:rsid w:val="00BF7C01"/>
    <w:rsid w:val="00C2114B"/>
    <w:rsid w:val="00C340DE"/>
    <w:rsid w:val="00C43089"/>
    <w:rsid w:val="00C51E70"/>
    <w:rsid w:val="00C66E54"/>
    <w:rsid w:val="00C702CC"/>
    <w:rsid w:val="00C83574"/>
    <w:rsid w:val="00CA19CD"/>
    <w:rsid w:val="00CC218A"/>
    <w:rsid w:val="00CC561D"/>
    <w:rsid w:val="00CD6588"/>
    <w:rsid w:val="00CE6FAB"/>
    <w:rsid w:val="00CE78EA"/>
    <w:rsid w:val="00CF491F"/>
    <w:rsid w:val="00D00D33"/>
    <w:rsid w:val="00D17F15"/>
    <w:rsid w:val="00D2777E"/>
    <w:rsid w:val="00D27A6B"/>
    <w:rsid w:val="00D469B2"/>
    <w:rsid w:val="00D759C5"/>
    <w:rsid w:val="00D80AB0"/>
    <w:rsid w:val="00D9150E"/>
    <w:rsid w:val="00DC0FD2"/>
    <w:rsid w:val="00DC18CD"/>
    <w:rsid w:val="00DC5C62"/>
    <w:rsid w:val="00DE03C8"/>
    <w:rsid w:val="00DF35D7"/>
    <w:rsid w:val="00E01811"/>
    <w:rsid w:val="00E057DF"/>
    <w:rsid w:val="00E11CD7"/>
    <w:rsid w:val="00E17F60"/>
    <w:rsid w:val="00E209F2"/>
    <w:rsid w:val="00E52A26"/>
    <w:rsid w:val="00E67CE4"/>
    <w:rsid w:val="00E72145"/>
    <w:rsid w:val="00E7743B"/>
    <w:rsid w:val="00E949AD"/>
    <w:rsid w:val="00EA3A06"/>
    <w:rsid w:val="00EA7FBA"/>
    <w:rsid w:val="00EB66B1"/>
    <w:rsid w:val="00ED0B3F"/>
    <w:rsid w:val="00ED7C0B"/>
    <w:rsid w:val="00EE0203"/>
    <w:rsid w:val="00EF428C"/>
    <w:rsid w:val="00EF5A95"/>
    <w:rsid w:val="00EF5E2D"/>
    <w:rsid w:val="00F04A68"/>
    <w:rsid w:val="00F211F2"/>
    <w:rsid w:val="00F367F1"/>
    <w:rsid w:val="00F413FB"/>
    <w:rsid w:val="00F419B2"/>
    <w:rsid w:val="00F44DB7"/>
    <w:rsid w:val="00F4677E"/>
    <w:rsid w:val="00F54804"/>
    <w:rsid w:val="00F55581"/>
    <w:rsid w:val="00F61048"/>
    <w:rsid w:val="00F61EB9"/>
    <w:rsid w:val="00F6406D"/>
    <w:rsid w:val="00F83E21"/>
    <w:rsid w:val="00F930DA"/>
    <w:rsid w:val="00FA0A37"/>
    <w:rsid w:val="00FA0DC5"/>
    <w:rsid w:val="00FA26CA"/>
    <w:rsid w:val="00FA291E"/>
    <w:rsid w:val="00FB3EA6"/>
    <w:rsid w:val="00FB6216"/>
    <w:rsid w:val="00FC5E53"/>
    <w:rsid w:val="00FD16E4"/>
    <w:rsid w:val="00FF142D"/>
    <w:rsid w:val="00FF2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991344"/>
    <w:pPr>
      <w:ind w:left="720"/>
      <w:contextualSpacing/>
    </w:pPr>
  </w:style>
  <w:style w:type="character" w:styleId="EndnoteReference">
    <w:name w:val="endnote reference"/>
    <w:basedOn w:val="DefaultParagraphFont"/>
    <w:uiPriority w:val="99"/>
    <w:semiHidden/>
    <w:unhideWhenUsed/>
    <w:rsid w:val="006E2F3C"/>
    <w:rPr>
      <w:vertAlign w:val="superscript"/>
    </w:rPr>
  </w:style>
  <w:style w:type="character" w:styleId="Hyperlink">
    <w:name w:val="Hyperlink"/>
    <w:basedOn w:val="DefaultParagraphFont"/>
    <w:uiPriority w:val="99"/>
    <w:unhideWhenUsed/>
    <w:rsid w:val="00461771"/>
    <w:rPr>
      <w:strike w:val="0"/>
      <w:dstrike w:val="0"/>
      <w:color w:val="396FAF"/>
      <w:u w:val="none"/>
      <w:effect w:val="none"/>
    </w:rPr>
  </w:style>
  <w:style w:type="character" w:styleId="Strong">
    <w:name w:val="Strong"/>
    <w:basedOn w:val="DefaultParagraphFont"/>
    <w:uiPriority w:val="22"/>
    <w:qFormat/>
    <w:rsid w:val="00461771"/>
    <w:rPr>
      <w:b/>
      <w:bCs/>
    </w:rPr>
  </w:style>
  <w:style w:type="paragraph" w:styleId="BalloonText">
    <w:name w:val="Balloon Text"/>
    <w:basedOn w:val="Normal"/>
    <w:link w:val="BalloonTextChar"/>
    <w:uiPriority w:val="99"/>
    <w:semiHidden/>
    <w:unhideWhenUsed/>
    <w:rsid w:val="00BD18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28"/>
    <w:rPr>
      <w:rFonts w:ascii="Tahoma" w:hAnsi="Tahoma" w:cs="Tahoma"/>
      <w:sz w:val="16"/>
      <w:szCs w:val="16"/>
    </w:rPr>
  </w:style>
  <w:style w:type="character" w:styleId="CommentReference">
    <w:name w:val="annotation reference"/>
    <w:basedOn w:val="DefaultParagraphFont"/>
    <w:uiPriority w:val="99"/>
    <w:semiHidden/>
    <w:unhideWhenUsed/>
    <w:rsid w:val="00E67CE4"/>
    <w:rPr>
      <w:sz w:val="16"/>
      <w:szCs w:val="16"/>
    </w:rPr>
  </w:style>
  <w:style w:type="paragraph" w:styleId="CommentText">
    <w:name w:val="annotation text"/>
    <w:basedOn w:val="Normal"/>
    <w:link w:val="CommentTextChar"/>
    <w:uiPriority w:val="99"/>
    <w:semiHidden/>
    <w:unhideWhenUsed/>
    <w:rsid w:val="00E67CE4"/>
    <w:pPr>
      <w:spacing w:line="240" w:lineRule="auto"/>
    </w:pPr>
    <w:rPr>
      <w:sz w:val="20"/>
      <w:szCs w:val="20"/>
    </w:rPr>
  </w:style>
  <w:style w:type="character" w:customStyle="1" w:styleId="CommentTextChar">
    <w:name w:val="Comment Text Char"/>
    <w:basedOn w:val="DefaultParagraphFont"/>
    <w:link w:val="CommentText"/>
    <w:uiPriority w:val="99"/>
    <w:semiHidden/>
    <w:rsid w:val="00E67CE4"/>
    <w:rPr>
      <w:sz w:val="20"/>
      <w:szCs w:val="20"/>
    </w:rPr>
  </w:style>
  <w:style w:type="paragraph" w:styleId="CommentSubject">
    <w:name w:val="annotation subject"/>
    <w:basedOn w:val="CommentText"/>
    <w:next w:val="CommentText"/>
    <w:link w:val="CommentSubjectChar"/>
    <w:uiPriority w:val="99"/>
    <w:semiHidden/>
    <w:unhideWhenUsed/>
    <w:rsid w:val="00E67CE4"/>
    <w:rPr>
      <w:b/>
      <w:bCs/>
    </w:rPr>
  </w:style>
  <w:style w:type="character" w:customStyle="1" w:styleId="CommentSubjectChar">
    <w:name w:val="Comment Subject Char"/>
    <w:basedOn w:val="CommentTextChar"/>
    <w:link w:val="CommentSubject"/>
    <w:uiPriority w:val="99"/>
    <w:semiHidden/>
    <w:rsid w:val="00E67CE4"/>
    <w:rPr>
      <w:b/>
      <w:bCs/>
      <w:sz w:val="20"/>
      <w:szCs w:val="20"/>
    </w:rPr>
  </w:style>
  <w:style w:type="paragraph" w:styleId="FootnoteText">
    <w:name w:val="footnote text"/>
    <w:basedOn w:val="Normal"/>
    <w:link w:val="FootnoteTextChar"/>
    <w:uiPriority w:val="99"/>
    <w:semiHidden/>
    <w:unhideWhenUsed/>
    <w:rsid w:val="00D469B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69B2"/>
    <w:rPr>
      <w:sz w:val="20"/>
      <w:szCs w:val="20"/>
    </w:rPr>
  </w:style>
  <w:style w:type="character" w:styleId="FootnoteReference">
    <w:name w:val="footnote reference"/>
    <w:basedOn w:val="DefaultParagraphFont"/>
    <w:uiPriority w:val="99"/>
    <w:semiHidden/>
    <w:unhideWhenUsed/>
    <w:rsid w:val="00D469B2"/>
    <w:rPr>
      <w:vertAlign w:val="superscript"/>
    </w:rPr>
  </w:style>
  <w:style w:type="paragraph" w:customStyle="1" w:styleId="LEUFPSubtitle">
    <w:name w:val="LEU_FP_Subtitle"/>
    <w:basedOn w:val="Normal"/>
    <w:rsid w:val="005B2272"/>
    <w:pPr>
      <w:spacing w:before="0" w:line="280" w:lineRule="exact"/>
    </w:pPr>
    <w:rPr>
      <w:rFonts w:eastAsia="Times New Roman" w:cs="Times New Roman"/>
    </w:rPr>
  </w:style>
  <w:style w:type="paragraph" w:styleId="Header">
    <w:name w:val="header"/>
    <w:basedOn w:val="Normal"/>
    <w:link w:val="HeaderChar"/>
    <w:uiPriority w:val="99"/>
    <w:unhideWhenUsed/>
    <w:rsid w:val="005B227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B2272"/>
  </w:style>
  <w:style w:type="paragraph" w:styleId="Footer">
    <w:name w:val="footer"/>
    <w:basedOn w:val="Normal"/>
    <w:link w:val="FooterChar"/>
    <w:uiPriority w:val="99"/>
    <w:unhideWhenUsed/>
    <w:rsid w:val="005B227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B2272"/>
  </w:style>
  <w:style w:type="paragraph" w:customStyle="1" w:styleId="LEUFPSchool">
    <w:name w:val="LEU_FP_School"/>
    <w:next w:val="Normal"/>
    <w:rsid w:val="005B2272"/>
    <w:pPr>
      <w:spacing w:after="0" w:line="400" w:lineRule="exact"/>
    </w:pPr>
    <w:rPr>
      <w:rFonts w:eastAsia="Times New Roman" w:cs="Times New Roman"/>
      <w:b/>
      <w:sz w:val="36"/>
      <w:szCs w:val="36"/>
    </w:rPr>
  </w:style>
  <w:style w:type="paragraph" w:customStyle="1" w:styleId="LEUFPFac">
    <w:name w:val="LEU_FP_Fac"/>
    <w:rsid w:val="005B2272"/>
    <w:pPr>
      <w:spacing w:before="60" w:after="0" w:line="280" w:lineRule="exact"/>
    </w:pPr>
    <w:rPr>
      <w:rFonts w:eastAsia="Times New Roman" w:cs="Times New Roman"/>
      <w:caps/>
      <w:sz w:val="20"/>
      <w:szCs w:val="20"/>
    </w:rPr>
  </w:style>
  <w:style w:type="paragraph" w:customStyle="1" w:styleId="pbody">
    <w:name w:val="¥p_body"/>
    <w:basedOn w:val="Normal"/>
    <w:uiPriority w:val="99"/>
    <w:rsid w:val="005B2272"/>
    <w:pPr>
      <w:widowControl w:val="0"/>
      <w:tabs>
        <w:tab w:val="left" w:pos="170"/>
      </w:tabs>
      <w:suppressAutoHyphens/>
      <w:autoSpaceDE w:val="0"/>
      <w:autoSpaceDN w:val="0"/>
      <w:adjustRightInd w:val="0"/>
      <w:spacing w:before="57" w:after="113" w:line="288" w:lineRule="auto"/>
      <w:textAlignment w:val="center"/>
    </w:pPr>
    <w:rPr>
      <w:rFonts w:ascii="Frutiger-Light" w:eastAsia="Times New Roman" w:hAnsi="Frutiger-Light" w:cs="Frutiger-Light"/>
      <w:color w:val="000000"/>
      <w:sz w:val="18"/>
      <w:szCs w:val="18"/>
      <w:lang w:val="en-US"/>
    </w:rPr>
  </w:style>
  <w:style w:type="character" w:customStyle="1" w:styleId="h1">
    <w:name w:val="¥h1"/>
    <w:basedOn w:val="DefaultParagraphFont"/>
    <w:uiPriority w:val="99"/>
    <w:rsid w:val="005B2272"/>
    <w:rPr>
      <w:rFonts w:ascii="Frutiger-Bold" w:hAnsi="Frutiger-Bold" w:cs="Frutiger-Bold"/>
      <w:b/>
      <w:bCs/>
      <w:color w:val="BF322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991344"/>
    <w:pPr>
      <w:ind w:left="720"/>
      <w:contextualSpacing/>
    </w:pPr>
  </w:style>
  <w:style w:type="character" w:styleId="EndnoteReference">
    <w:name w:val="endnote reference"/>
    <w:basedOn w:val="DefaultParagraphFont"/>
    <w:uiPriority w:val="99"/>
    <w:semiHidden/>
    <w:unhideWhenUsed/>
    <w:rsid w:val="006E2F3C"/>
    <w:rPr>
      <w:vertAlign w:val="superscript"/>
    </w:rPr>
  </w:style>
  <w:style w:type="character" w:styleId="Hyperlink">
    <w:name w:val="Hyperlink"/>
    <w:basedOn w:val="DefaultParagraphFont"/>
    <w:uiPriority w:val="99"/>
    <w:unhideWhenUsed/>
    <w:rsid w:val="00461771"/>
    <w:rPr>
      <w:strike w:val="0"/>
      <w:dstrike w:val="0"/>
      <w:color w:val="396FAF"/>
      <w:u w:val="none"/>
      <w:effect w:val="none"/>
    </w:rPr>
  </w:style>
  <w:style w:type="character" w:styleId="Strong">
    <w:name w:val="Strong"/>
    <w:basedOn w:val="DefaultParagraphFont"/>
    <w:uiPriority w:val="22"/>
    <w:qFormat/>
    <w:rsid w:val="00461771"/>
    <w:rPr>
      <w:b/>
      <w:bCs/>
    </w:rPr>
  </w:style>
  <w:style w:type="paragraph" w:styleId="BalloonText">
    <w:name w:val="Balloon Text"/>
    <w:basedOn w:val="Normal"/>
    <w:link w:val="BalloonTextChar"/>
    <w:uiPriority w:val="99"/>
    <w:semiHidden/>
    <w:unhideWhenUsed/>
    <w:rsid w:val="00BD18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28"/>
    <w:rPr>
      <w:rFonts w:ascii="Tahoma" w:hAnsi="Tahoma" w:cs="Tahoma"/>
      <w:sz w:val="16"/>
      <w:szCs w:val="16"/>
    </w:rPr>
  </w:style>
  <w:style w:type="character" w:styleId="CommentReference">
    <w:name w:val="annotation reference"/>
    <w:basedOn w:val="DefaultParagraphFont"/>
    <w:uiPriority w:val="99"/>
    <w:semiHidden/>
    <w:unhideWhenUsed/>
    <w:rsid w:val="00E67CE4"/>
    <w:rPr>
      <w:sz w:val="16"/>
      <w:szCs w:val="16"/>
    </w:rPr>
  </w:style>
  <w:style w:type="paragraph" w:styleId="CommentText">
    <w:name w:val="annotation text"/>
    <w:basedOn w:val="Normal"/>
    <w:link w:val="CommentTextChar"/>
    <w:uiPriority w:val="99"/>
    <w:semiHidden/>
    <w:unhideWhenUsed/>
    <w:rsid w:val="00E67CE4"/>
    <w:pPr>
      <w:spacing w:line="240" w:lineRule="auto"/>
    </w:pPr>
    <w:rPr>
      <w:sz w:val="20"/>
      <w:szCs w:val="20"/>
    </w:rPr>
  </w:style>
  <w:style w:type="character" w:customStyle="1" w:styleId="CommentTextChar">
    <w:name w:val="Comment Text Char"/>
    <w:basedOn w:val="DefaultParagraphFont"/>
    <w:link w:val="CommentText"/>
    <w:uiPriority w:val="99"/>
    <w:semiHidden/>
    <w:rsid w:val="00E67CE4"/>
    <w:rPr>
      <w:sz w:val="20"/>
      <w:szCs w:val="20"/>
    </w:rPr>
  </w:style>
  <w:style w:type="paragraph" w:styleId="CommentSubject">
    <w:name w:val="annotation subject"/>
    <w:basedOn w:val="CommentText"/>
    <w:next w:val="CommentText"/>
    <w:link w:val="CommentSubjectChar"/>
    <w:uiPriority w:val="99"/>
    <w:semiHidden/>
    <w:unhideWhenUsed/>
    <w:rsid w:val="00E67CE4"/>
    <w:rPr>
      <w:b/>
      <w:bCs/>
    </w:rPr>
  </w:style>
  <w:style w:type="character" w:customStyle="1" w:styleId="CommentSubjectChar">
    <w:name w:val="Comment Subject Char"/>
    <w:basedOn w:val="CommentTextChar"/>
    <w:link w:val="CommentSubject"/>
    <w:uiPriority w:val="99"/>
    <w:semiHidden/>
    <w:rsid w:val="00E67CE4"/>
    <w:rPr>
      <w:b/>
      <w:bCs/>
      <w:sz w:val="20"/>
      <w:szCs w:val="20"/>
    </w:rPr>
  </w:style>
  <w:style w:type="paragraph" w:styleId="FootnoteText">
    <w:name w:val="footnote text"/>
    <w:basedOn w:val="Normal"/>
    <w:link w:val="FootnoteTextChar"/>
    <w:uiPriority w:val="99"/>
    <w:semiHidden/>
    <w:unhideWhenUsed/>
    <w:rsid w:val="00D469B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469B2"/>
    <w:rPr>
      <w:sz w:val="20"/>
      <w:szCs w:val="20"/>
    </w:rPr>
  </w:style>
  <w:style w:type="character" w:styleId="FootnoteReference">
    <w:name w:val="footnote reference"/>
    <w:basedOn w:val="DefaultParagraphFont"/>
    <w:uiPriority w:val="99"/>
    <w:semiHidden/>
    <w:unhideWhenUsed/>
    <w:rsid w:val="00D469B2"/>
    <w:rPr>
      <w:vertAlign w:val="superscript"/>
    </w:rPr>
  </w:style>
  <w:style w:type="paragraph" w:customStyle="1" w:styleId="LEUFPSubtitle">
    <w:name w:val="LEU_FP_Subtitle"/>
    <w:basedOn w:val="Normal"/>
    <w:rsid w:val="005B2272"/>
    <w:pPr>
      <w:spacing w:before="0" w:line="280" w:lineRule="exact"/>
    </w:pPr>
    <w:rPr>
      <w:rFonts w:eastAsia="Times New Roman" w:cs="Times New Roman"/>
    </w:rPr>
  </w:style>
  <w:style w:type="paragraph" w:styleId="Header">
    <w:name w:val="header"/>
    <w:basedOn w:val="Normal"/>
    <w:link w:val="HeaderChar"/>
    <w:uiPriority w:val="99"/>
    <w:unhideWhenUsed/>
    <w:rsid w:val="005B227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B2272"/>
  </w:style>
  <w:style w:type="paragraph" w:styleId="Footer">
    <w:name w:val="footer"/>
    <w:basedOn w:val="Normal"/>
    <w:link w:val="FooterChar"/>
    <w:uiPriority w:val="99"/>
    <w:unhideWhenUsed/>
    <w:rsid w:val="005B227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B2272"/>
  </w:style>
  <w:style w:type="paragraph" w:customStyle="1" w:styleId="LEUFPSchool">
    <w:name w:val="LEU_FP_School"/>
    <w:next w:val="Normal"/>
    <w:rsid w:val="005B2272"/>
    <w:pPr>
      <w:spacing w:after="0" w:line="400" w:lineRule="exact"/>
    </w:pPr>
    <w:rPr>
      <w:rFonts w:eastAsia="Times New Roman" w:cs="Times New Roman"/>
      <w:b/>
      <w:sz w:val="36"/>
      <w:szCs w:val="36"/>
    </w:rPr>
  </w:style>
  <w:style w:type="paragraph" w:customStyle="1" w:styleId="LEUFPFac">
    <w:name w:val="LEU_FP_Fac"/>
    <w:rsid w:val="005B2272"/>
    <w:pPr>
      <w:spacing w:before="60" w:after="0" w:line="280" w:lineRule="exact"/>
    </w:pPr>
    <w:rPr>
      <w:rFonts w:eastAsia="Times New Roman" w:cs="Times New Roman"/>
      <w:caps/>
      <w:sz w:val="20"/>
      <w:szCs w:val="20"/>
    </w:rPr>
  </w:style>
  <w:style w:type="paragraph" w:customStyle="1" w:styleId="pbody">
    <w:name w:val="¥p_body"/>
    <w:basedOn w:val="Normal"/>
    <w:uiPriority w:val="99"/>
    <w:rsid w:val="005B2272"/>
    <w:pPr>
      <w:widowControl w:val="0"/>
      <w:tabs>
        <w:tab w:val="left" w:pos="170"/>
      </w:tabs>
      <w:suppressAutoHyphens/>
      <w:autoSpaceDE w:val="0"/>
      <w:autoSpaceDN w:val="0"/>
      <w:adjustRightInd w:val="0"/>
      <w:spacing w:before="57" w:after="113" w:line="288" w:lineRule="auto"/>
      <w:textAlignment w:val="center"/>
    </w:pPr>
    <w:rPr>
      <w:rFonts w:ascii="Frutiger-Light" w:eastAsia="Times New Roman" w:hAnsi="Frutiger-Light" w:cs="Frutiger-Light"/>
      <w:color w:val="000000"/>
      <w:sz w:val="18"/>
      <w:szCs w:val="18"/>
      <w:lang w:val="en-US"/>
    </w:rPr>
  </w:style>
  <w:style w:type="character" w:customStyle="1" w:styleId="h1">
    <w:name w:val="¥h1"/>
    <w:basedOn w:val="DefaultParagraphFont"/>
    <w:uiPriority w:val="99"/>
    <w:rsid w:val="005B2272"/>
    <w:rPr>
      <w:rFonts w:ascii="Frutiger-Bold" w:hAnsi="Frutiger-Bold" w:cs="Frutiger-Bold"/>
      <w:b/>
      <w:bCs/>
      <w:color w:val="BF322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e.leeds.ac.uk/sri" TargetMode="External"/><Relationship Id="rId4" Type="http://schemas.openxmlformats.org/officeDocument/2006/relationships/settings" Target="settings.xml"/><Relationship Id="rId9" Type="http://schemas.openxmlformats.org/officeDocument/2006/relationships/hyperlink" Target="http://www.cccep.ac.uk"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hyperlink" Target="https://www.cskillsdirect.org/Nuclear_Report_2011.pdf" TargetMode="External"/><Relationship Id="rId13" Type="http://schemas.openxmlformats.org/officeDocument/2006/relationships/hyperlink" Target="http://www.nationalgrid.com/uk/Electricity/projects/" TargetMode="External"/><Relationship Id="rId18" Type="http://schemas.openxmlformats.org/officeDocument/2006/relationships/hyperlink" Target="http://www.ingentaconnect.com/content/routledg/ctas/2008/00000020/00000005/art00002" TargetMode="External"/><Relationship Id="rId3" Type="http://schemas.openxmlformats.org/officeDocument/2006/relationships/hyperlink" Target="http://www.ukces.org.uk/ourwork/investment/growthinnovationfund" TargetMode="External"/><Relationship Id="rId21" Type="http://schemas.openxmlformats.org/officeDocument/2006/relationships/hyperlink" Target="http://www.ecitb.org.uk/AboutECITB/EstimatedManpowerForecastModel/" TargetMode="External"/><Relationship Id="rId7" Type="http://schemas.openxmlformats.org/officeDocument/2006/relationships/hyperlink" Target="http://www.hse.gov.uk/safetybulletins/co-wood-pellets.htm" TargetMode="External"/><Relationship Id="rId12" Type="http://schemas.openxmlformats.org/officeDocument/2006/relationships/hyperlink" Target="http://www.decc.gov.uk/en/content/cms/legislation/cc_act_08/cc_act_08.aspx" TargetMode="External"/><Relationship Id="rId17" Type="http://schemas.openxmlformats.org/officeDocument/2006/relationships/hyperlink" Target="http://www.assetskills.org/GreenSkills/GreenDealSkillsAlliance.aspx" TargetMode="External"/><Relationship Id="rId2" Type="http://schemas.openxmlformats.org/officeDocument/2006/relationships/hyperlink" Target="http://www.tandfonline.com/doi/abs/10.1080/13639080802090260" TargetMode="External"/><Relationship Id="rId16" Type="http://schemas.openxmlformats.org/officeDocument/2006/relationships/hyperlink" Target="http://www.bis.gov.uk/policies/further-education-skills/employers/nsa" TargetMode="External"/><Relationship Id="rId20" Type="http://schemas.openxmlformats.org/officeDocument/2006/relationships/hyperlink" Target="http://www.cskills.org/uploads/Survey%20of%20Employment%20by%20Occupation%202011_tcm17-32805.pdf" TargetMode="External"/><Relationship Id="rId1" Type="http://schemas.openxmlformats.org/officeDocument/2006/relationships/hyperlink" Target="http://dx.doi.org/10.1080/14693062.2012.709079" TargetMode="External"/><Relationship Id="rId6" Type="http://schemas.openxmlformats.org/officeDocument/2006/relationships/hyperlink" Target="http://www.renewableuk.com/en/news/press-releases.cfm/2012-11-05-low-carbon-industries-unite-to-call-for-swift-progress-on-energy-bill" TargetMode="External"/><Relationship Id="rId11" Type="http://schemas.openxmlformats.org/officeDocument/2006/relationships/hyperlink" Target="http://eprints.lse.ac.uk/35715/" TargetMode="External"/><Relationship Id="rId5" Type="http://schemas.openxmlformats.org/officeDocument/2006/relationships/hyperlink" Target="http://www.decc.gov.uk/assets/decc/11/tackling-climate-change/green-deal/5505-how-the-green-deal-will-reflect-the-insitu-perfor.pdf" TargetMode="External"/><Relationship Id="rId15" Type="http://schemas.openxmlformats.org/officeDocument/2006/relationships/hyperlink" Target="http://statistics.dwp.gov.uk/asd/asd5/report_abstracts/rr_abstracts/rra_391.asp" TargetMode="External"/><Relationship Id="rId23" Type="http://schemas.openxmlformats.org/officeDocument/2006/relationships/hyperlink" Target="http://www.bis.gov.uk/assets/biscore/further-education-skills/docs/s/11-1315-skills-for-a-green-economy.pdf" TargetMode="External"/><Relationship Id="rId10" Type="http://schemas.openxmlformats.org/officeDocument/2006/relationships/hyperlink" Target="http://ons.gov.uk/ons/rel/lms/labour-market-trends--discontinued-/volume-112--no--3/skills-shortages-in-skilled-construction-and-metal-trade-occupations.pdf" TargetMode="External"/><Relationship Id="rId19" Type="http://schemas.openxmlformats.org/officeDocument/2006/relationships/hyperlink" Target="http://www.ecitb.org.uk/custom/ecitb/docManager/documents/Securing_Engineering_Construction_Skills_for_the_Future.pdf" TargetMode="External"/><Relationship Id="rId4" Type="http://schemas.openxmlformats.org/officeDocument/2006/relationships/hyperlink" Target="http://shop.bsigroup.com/en/ProductDetail/?pid=000000000030248249" TargetMode="External"/><Relationship Id="rId9" Type="http://schemas.openxmlformats.org/officeDocument/2006/relationships/hyperlink" Target="http://www.lowcarboninnovation.co.uk/working_together/technology_focus_areas/domestic_buildings/" TargetMode="External"/><Relationship Id="rId14" Type="http://schemas.openxmlformats.org/officeDocument/2006/relationships/hyperlink" Target="http://cdn.hm-treasury.gov.uk/national_infrastructure_plan291111.pdf" TargetMode="External"/><Relationship Id="rId22" Type="http://schemas.openxmlformats.org/officeDocument/2006/relationships/hyperlink" Target="http://www.decc.gov.uk/e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2CD8-D54B-4DCE-A227-7EA5C4E8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Jagger</dc:creator>
  <cp:lastModifiedBy>Margo Hanson</cp:lastModifiedBy>
  <cp:revision>4</cp:revision>
  <cp:lastPrinted>2012-11-21T18:12:00Z</cp:lastPrinted>
  <dcterms:created xsi:type="dcterms:W3CDTF">2012-11-26T14:24:00Z</dcterms:created>
  <dcterms:modified xsi:type="dcterms:W3CDTF">2012-11-26T14:24:00Z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